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A9E1D" w14:textId="77777777" w:rsidR="00AC049F" w:rsidRPr="0072744E" w:rsidRDefault="007C7485" w:rsidP="002B186B">
      <w:pPr>
        <w:spacing w:line="480" w:lineRule="auto"/>
      </w:pPr>
      <w:r w:rsidRPr="0072744E">
        <w:t>Sarah Rude</w:t>
      </w:r>
    </w:p>
    <w:p w14:paraId="49126052" w14:textId="5F60366C" w:rsidR="007C7485" w:rsidRPr="0072744E" w:rsidRDefault="00707B38" w:rsidP="002B186B">
      <w:pPr>
        <w:spacing w:line="480" w:lineRule="auto"/>
      </w:pPr>
      <w:r w:rsidRPr="0072744E">
        <w:t>2</w:t>
      </w:r>
      <w:r w:rsidR="009D0E67">
        <w:t>8</w:t>
      </w:r>
      <w:r w:rsidR="007C7485" w:rsidRPr="0072744E">
        <w:t xml:space="preserve"> </w:t>
      </w:r>
      <w:r w:rsidR="002504B6">
        <w:t>May</w:t>
      </w:r>
      <w:r w:rsidR="007C7485" w:rsidRPr="0072744E">
        <w:t xml:space="preserve"> 2015</w:t>
      </w:r>
    </w:p>
    <w:p w14:paraId="6105FB9C" w14:textId="77777777" w:rsidR="007C7485" w:rsidRPr="0072744E" w:rsidRDefault="007C7485" w:rsidP="002B186B">
      <w:pPr>
        <w:spacing w:line="480" w:lineRule="auto"/>
        <w:jc w:val="center"/>
        <w:rPr>
          <w:b/>
        </w:rPr>
      </w:pPr>
      <w:r w:rsidRPr="0072744E">
        <w:rPr>
          <w:b/>
        </w:rPr>
        <w:t>Prospectus</w:t>
      </w:r>
    </w:p>
    <w:p w14:paraId="3D927700" w14:textId="77777777" w:rsidR="007C7485" w:rsidRPr="0072744E" w:rsidRDefault="007C7485" w:rsidP="002B186B">
      <w:pPr>
        <w:spacing w:line="480" w:lineRule="auto"/>
        <w:jc w:val="center"/>
        <w:rPr>
          <w:b/>
        </w:rPr>
      </w:pPr>
      <w:r w:rsidRPr="0072744E">
        <w:rPr>
          <w:b/>
        </w:rPr>
        <w:t xml:space="preserve">“I </w:t>
      </w:r>
      <w:proofErr w:type="spellStart"/>
      <w:r w:rsidRPr="0072744E">
        <w:rPr>
          <w:b/>
        </w:rPr>
        <w:t>se</w:t>
      </w:r>
      <w:proofErr w:type="spellEnd"/>
      <w:r w:rsidRPr="0072744E">
        <w:rPr>
          <w:b/>
        </w:rPr>
        <w:t xml:space="preserve"> and </w:t>
      </w:r>
      <w:proofErr w:type="spellStart"/>
      <w:r w:rsidRPr="0072744E">
        <w:rPr>
          <w:b/>
        </w:rPr>
        <w:t>undirstonde</w:t>
      </w:r>
      <w:proofErr w:type="spellEnd"/>
      <w:r w:rsidRPr="0072744E">
        <w:rPr>
          <w:b/>
        </w:rPr>
        <w:t>”: Vision</w:t>
      </w:r>
      <w:r w:rsidR="00E52DD5" w:rsidRPr="0072744E">
        <w:rPr>
          <w:b/>
        </w:rPr>
        <w:t>, Reason,</w:t>
      </w:r>
      <w:r w:rsidRPr="0072744E">
        <w:rPr>
          <w:b/>
        </w:rPr>
        <w:t xml:space="preserve"> and Tragedy in Chaucer and Malory</w:t>
      </w:r>
    </w:p>
    <w:p w14:paraId="16EE900D" w14:textId="41B53706" w:rsidR="007C7485" w:rsidRPr="0072744E" w:rsidRDefault="007C7485" w:rsidP="002B186B">
      <w:pPr>
        <w:spacing w:line="480" w:lineRule="auto"/>
        <w:rPr>
          <w:b/>
        </w:rPr>
      </w:pPr>
      <w:r w:rsidRPr="0072744E">
        <w:rPr>
          <w:b/>
        </w:rPr>
        <w:t>Opening Statement</w:t>
      </w:r>
    </w:p>
    <w:p w14:paraId="34ABF114" w14:textId="750777F1" w:rsidR="006F3141" w:rsidRPr="0072744E" w:rsidRDefault="00416D2D" w:rsidP="002B186B">
      <w:pPr>
        <w:spacing w:line="480" w:lineRule="auto"/>
      </w:pPr>
      <w:r w:rsidRPr="0072744E">
        <w:tab/>
      </w:r>
      <w:r w:rsidR="00A30523" w:rsidRPr="0072744E">
        <w:t xml:space="preserve">Geoffrey </w:t>
      </w:r>
      <w:r w:rsidR="006F3141" w:rsidRPr="0072744E">
        <w:t xml:space="preserve">Chaucer’s </w:t>
      </w:r>
      <w:r w:rsidR="00A30523" w:rsidRPr="0072744E">
        <w:t>“Monk’s Tale” in the</w:t>
      </w:r>
      <w:r w:rsidR="006F3141" w:rsidRPr="0072744E">
        <w:t xml:space="preserve"> </w:t>
      </w:r>
      <w:r w:rsidR="006F3141" w:rsidRPr="0072744E">
        <w:rPr>
          <w:i/>
        </w:rPr>
        <w:t>Canterbury Tales</w:t>
      </w:r>
      <w:r w:rsidR="006F3141" w:rsidRPr="0072744E">
        <w:t xml:space="preserve"> contains</w:t>
      </w:r>
      <w:r w:rsidR="00BF4CF2">
        <w:t xml:space="preserve"> </w:t>
      </w:r>
      <w:r w:rsidR="008727E5">
        <w:t>one of the standard</w:t>
      </w:r>
      <w:r w:rsidR="00BF4CF2">
        <w:t xml:space="preserve"> definition</w:t>
      </w:r>
      <w:r w:rsidR="008727E5">
        <w:t>s</w:t>
      </w:r>
      <w:r w:rsidR="00BF4CF2">
        <w:t xml:space="preserve"> </w:t>
      </w:r>
      <w:r w:rsidR="00A30523" w:rsidRPr="0072744E">
        <w:t xml:space="preserve">of tragedy in </w:t>
      </w:r>
      <w:r w:rsidR="00A03D2A" w:rsidRPr="0072744E">
        <w:t>Middle English literature</w:t>
      </w:r>
      <w:r w:rsidR="00A30523" w:rsidRPr="0072744E">
        <w:t>.</w:t>
      </w:r>
      <w:r w:rsidR="006F3141" w:rsidRPr="0072744E">
        <w:t xml:space="preserve"> </w:t>
      </w:r>
      <w:r w:rsidR="00A30523" w:rsidRPr="0072744E">
        <w:t>A</w:t>
      </w:r>
      <w:r w:rsidR="006F3141" w:rsidRPr="0072744E">
        <w:t xml:space="preserve">s the Monk </w:t>
      </w:r>
      <w:r w:rsidR="00BF4CF2">
        <w:t>reports</w:t>
      </w:r>
      <w:r w:rsidR="00A30523" w:rsidRPr="0072744E">
        <w:t xml:space="preserve"> in his “Prologue”</w:t>
      </w:r>
      <w:r w:rsidR="006F3141" w:rsidRPr="0072744E">
        <w:t>:</w:t>
      </w:r>
    </w:p>
    <w:p w14:paraId="60C2DBD9" w14:textId="77497DA1" w:rsidR="006F3141" w:rsidRPr="0072744E" w:rsidRDefault="006F3141" w:rsidP="002B186B">
      <w:pPr>
        <w:spacing w:line="480" w:lineRule="auto"/>
        <w:ind w:left="1440"/>
      </w:pPr>
      <w:proofErr w:type="spellStart"/>
      <w:r w:rsidRPr="0072744E">
        <w:t>Tragedie</w:t>
      </w:r>
      <w:proofErr w:type="spellEnd"/>
      <w:r w:rsidRPr="0072744E">
        <w:t xml:space="preserve"> is to </w:t>
      </w:r>
      <w:proofErr w:type="spellStart"/>
      <w:r w:rsidRPr="0072744E">
        <w:t>seyn</w:t>
      </w:r>
      <w:proofErr w:type="spellEnd"/>
      <w:r w:rsidRPr="0072744E">
        <w:t xml:space="preserve"> a </w:t>
      </w:r>
      <w:proofErr w:type="spellStart"/>
      <w:r w:rsidRPr="0072744E">
        <w:t>certyn</w:t>
      </w:r>
      <w:proofErr w:type="spellEnd"/>
      <w:r w:rsidRPr="0072744E">
        <w:t xml:space="preserve"> </w:t>
      </w:r>
      <w:proofErr w:type="spellStart"/>
      <w:r w:rsidRPr="0072744E">
        <w:t>storie</w:t>
      </w:r>
      <w:proofErr w:type="spellEnd"/>
      <w:r w:rsidRPr="0072744E">
        <w:t>,</w:t>
      </w:r>
    </w:p>
    <w:p w14:paraId="0791968E" w14:textId="269CA5D8" w:rsidR="006F3141" w:rsidRPr="0072744E" w:rsidRDefault="006F3141" w:rsidP="002B186B">
      <w:pPr>
        <w:spacing w:line="480" w:lineRule="auto"/>
        <w:ind w:left="1440"/>
      </w:pPr>
      <w:r w:rsidRPr="0072744E">
        <w:t xml:space="preserve">As </w:t>
      </w:r>
      <w:proofErr w:type="spellStart"/>
      <w:r w:rsidRPr="0072744E">
        <w:t>olde</w:t>
      </w:r>
      <w:proofErr w:type="spellEnd"/>
      <w:r w:rsidRPr="0072744E">
        <w:t xml:space="preserve"> </w:t>
      </w:r>
      <w:proofErr w:type="spellStart"/>
      <w:r w:rsidRPr="0072744E">
        <w:t>bookes</w:t>
      </w:r>
      <w:proofErr w:type="spellEnd"/>
      <w:r w:rsidRPr="0072744E">
        <w:t xml:space="preserve"> </w:t>
      </w:r>
      <w:proofErr w:type="spellStart"/>
      <w:r w:rsidRPr="0072744E">
        <w:t>maken</w:t>
      </w:r>
      <w:proofErr w:type="spellEnd"/>
      <w:r w:rsidRPr="0072744E">
        <w:t xml:space="preserve"> us </w:t>
      </w:r>
      <w:proofErr w:type="spellStart"/>
      <w:r w:rsidRPr="0072744E">
        <w:t>memorie</w:t>
      </w:r>
      <w:proofErr w:type="spellEnd"/>
      <w:r w:rsidRPr="0072744E">
        <w:t>,</w:t>
      </w:r>
    </w:p>
    <w:p w14:paraId="59658498" w14:textId="127582F0" w:rsidR="006F3141" w:rsidRPr="0072744E" w:rsidRDefault="006F3141" w:rsidP="002B186B">
      <w:pPr>
        <w:spacing w:line="480" w:lineRule="auto"/>
        <w:ind w:left="1440"/>
      </w:pPr>
      <w:r w:rsidRPr="0072744E">
        <w:t xml:space="preserve">Of </w:t>
      </w:r>
      <w:proofErr w:type="spellStart"/>
      <w:r w:rsidRPr="0072744E">
        <w:t>hym</w:t>
      </w:r>
      <w:proofErr w:type="spellEnd"/>
      <w:r w:rsidRPr="0072744E">
        <w:t xml:space="preserve"> that stood in greet </w:t>
      </w:r>
      <w:proofErr w:type="spellStart"/>
      <w:r w:rsidRPr="0072744E">
        <w:t>prosperitee</w:t>
      </w:r>
      <w:proofErr w:type="spellEnd"/>
    </w:p>
    <w:p w14:paraId="043F7B9A" w14:textId="5B326C3C" w:rsidR="006F3141" w:rsidRPr="0072744E" w:rsidRDefault="006F3141" w:rsidP="002B186B">
      <w:pPr>
        <w:spacing w:line="480" w:lineRule="auto"/>
        <w:ind w:left="1440"/>
      </w:pPr>
      <w:r w:rsidRPr="0072744E">
        <w:t xml:space="preserve">And is </w:t>
      </w:r>
      <w:proofErr w:type="spellStart"/>
      <w:r w:rsidRPr="0072744E">
        <w:t>yfallen</w:t>
      </w:r>
      <w:proofErr w:type="spellEnd"/>
      <w:r w:rsidRPr="0072744E">
        <w:t xml:space="preserve"> out of </w:t>
      </w:r>
      <w:proofErr w:type="spellStart"/>
      <w:r w:rsidRPr="0072744E">
        <w:t>heigh</w:t>
      </w:r>
      <w:proofErr w:type="spellEnd"/>
      <w:r w:rsidRPr="0072744E">
        <w:t xml:space="preserve"> degree</w:t>
      </w:r>
    </w:p>
    <w:p w14:paraId="6B4BEF91" w14:textId="0D2EE00E" w:rsidR="006F3141" w:rsidRPr="0072744E" w:rsidRDefault="006F3141" w:rsidP="002B186B">
      <w:pPr>
        <w:spacing w:line="480" w:lineRule="auto"/>
        <w:ind w:left="1440"/>
      </w:pPr>
      <w:r w:rsidRPr="0072744E">
        <w:t xml:space="preserve">Into </w:t>
      </w:r>
      <w:proofErr w:type="spellStart"/>
      <w:r w:rsidRPr="0072744E">
        <w:t>myserie</w:t>
      </w:r>
      <w:proofErr w:type="spellEnd"/>
      <w:r w:rsidRPr="0072744E">
        <w:t xml:space="preserve">, and </w:t>
      </w:r>
      <w:proofErr w:type="spellStart"/>
      <w:r w:rsidRPr="0072744E">
        <w:t>endeth</w:t>
      </w:r>
      <w:proofErr w:type="spellEnd"/>
      <w:r w:rsidRPr="0072744E">
        <w:t xml:space="preserve"> </w:t>
      </w:r>
      <w:proofErr w:type="spellStart"/>
      <w:r w:rsidRPr="0072744E">
        <w:t>wrecchedly</w:t>
      </w:r>
      <w:proofErr w:type="spellEnd"/>
      <w:r w:rsidRPr="0072744E">
        <w:t>. (VII.1973-77)</w:t>
      </w:r>
    </w:p>
    <w:p w14:paraId="16CE8E1E" w14:textId="170AFB44" w:rsidR="006F3141" w:rsidRPr="0072744E" w:rsidRDefault="006F3141" w:rsidP="002B186B">
      <w:pPr>
        <w:spacing w:line="480" w:lineRule="auto"/>
      </w:pPr>
      <w:r w:rsidRPr="0072744E">
        <w:t xml:space="preserve">In addition to </w:t>
      </w:r>
      <w:r w:rsidR="00BF4CF2">
        <w:t>a</w:t>
      </w:r>
      <w:r w:rsidRPr="0072744E">
        <w:t xml:space="preserve"> fall from prosperity and </w:t>
      </w:r>
      <w:r w:rsidR="008727E5">
        <w:t xml:space="preserve">a </w:t>
      </w:r>
      <w:r w:rsidRPr="0072744E">
        <w:t xml:space="preserve">wretched end, the Monk says just a little later </w:t>
      </w:r>
      <w:r w:rsidR="00D477D6" w:rsidRPr="0072744E">
        <w:t>that</w:t>
      </w:r>
      <w:r w:rsidR="00BF4CF2">
        <w:t xml:space="preserve"> usually</w:t>
      </w:r>
      <w:r w:rsidR="00D477D6" w:rsidRPr="0072744E">
        <w:t xml:space="preserve"> Fortune</w:t>
      </w:r>
      <w:r w:rsidR="005E2968" w:rsidRPr="0072744E">
        <w:t xml:space="preserve"> is to blame for th</w:t>
      </w:r>
      <w:r w:rsidR="00D477D6" w:rsidRPr="0072744E">
        <w:t>is</w:t>
      </w:r>
      <w:r w:rsidR="005E2968" w:rsidRPr="0072744E">
        <w:t xml:space="preserve"> fall </w:t>
      </w:r>
      <w:r w:rsidR="00D477D6" w:rsidRPr="0072744E">
        <w:t>because occas</w:t>
      </w:r>
      <w:r w:rsidR="00D1515F">
        <w:t>ionally, she will “list to flee</w:t>
      </w:r>
      <w:r w:rsidR="00D477D6" w:rsidRPr="0072744E">
        <w:t>”</w:t>
      </w:r>
      <w:r w:rsidR="005E2968" w:rsidRPr="0072744E">
        <w:t xml:space="preserve"> (VII.1995). A final important feature of tragedy according to the Monk is its didactic nature: tragedies are told so that people may “Be war” that they might suffer the same fate</w:t>
      </w:r>
      <w:r w:rsidR="00D477D6" w:rsidRPr="0072744E">
        <w:t>; thus,</w:t>
      </w:r>
      <w:r w:rsidR="005E2968" w:rsidRPr="0072744E">
        <w:t xml:space="preserve"> they should not blindly trust Fortune</w:t>
      </w:r>
      <w:r w:rsidR="00D477D6" w:rsidRPr="0072744E">
        <w:t>, even</w:t>
      </w:r>
      <w:r w:rsidR="005E2968" w:rsidRPr="0072744E">
        <w:t xml:space="preserve"> when she seems most </w:t>
      </w:r>
      <w:r w:rsidR="00D477D6" w:rsidRPr="0072744E">
        <w:t>generous</w:t>
      </w:r>
      <w:r w:rsidR="002B186B">
        <w:t xml:space="preserve"> (VII.1998)</w:t>
      </w:r>
      <w:r w:rsidR="005E2968" w:rsidRPr="0072744E">
        <w:t>. By this basic definition of a fall from prosperity to a wretched end, both</w:t>
      </w:r>
      <w:r w:rsidR="00D477D6" w:rsidRPr="0072744E">
        <w:t xml:space="preserve"> Chaucer’s</w:t>
      </w:r>
      <w:r w:rsidR="005E2968" w:rsidRPr="0072744E">
        <w:t xml:space="preserve"> </w:t>
      </w:r>
      <w:r w:rsidR="005E2968" w:rsidRPr="0072744E">
        <w:rPr>
          <w:i/>
        </w:rPr>
        <w:t xml:space="preserve">Troilus and Criseyde </w:t>
      </w:r>
      <w:r w:rsidR="005E2968" w:rsidRPr="0072744E">
        <w:t xml:space="preserve">and </w:t>
      </w:r>
      <w:r w:rsidR="00D477D6" w:rsidRPr="0072744E">
        <w:t>Sir Thomas Malory’s</w:t>
      </w:r>
      <w:r w:rsidR="005E2968" w:rsidRPr="0072744E">
        <w:t xml:space="preserve"> </w:t>
      </w:r>
      <w:r w:rsidR="00D477D6" w:rsidRPr="0072744E">
        <w:rPr>
          <w:i/>
        </w:rPr>
        <w:t xml:space="preserve">Le </w:t>
      </w:r>
      <w:r w:rsidR="005E2968" w:rsidRPr="0072744E">
        <w:rPr>
          <w:i/>
        </w:rPr>
        <w:t xml:space="preserve">Morte Darthur </w:t>
      </w:r>
      <w:r w:rsidR="008727E5">
        <w:t xml:space="preserve">appear to most readers to be </w:t>
      </w:r>
      <w:r w:rsidR="005E2968" w:rsidRPr="0072744E">
        <w:t xml:space="preserve">tragedies. The main characters in each story initially experience a rise in fortune to an unprecedented degree of happiness and prosperity, only to </w:t>
      </w:r>
      <w:r w:rsidR="00D477D6" w:rsidRPr="0072744E">
        <w:t>suffer a reversal of their fortune, which leads to their demise, or at least misery.</w:t>
      </w:r>
      <w:r w:rsidR="00051569" w:rsidRPr="0072744E">
        <w:t xml:space="preserve"> </w:t>
      </w:r>
      <w:r w:rsidR="00D477D6" w:rsidRPr="0072744E">
        <w:t xml:space="preserve">In </w:t>
      </w:r>
      <w:r w:rsidR="00D477D6" w:rsidRPr="0072744E">
        <w:rPr>
          <w:i/>
        </w:rPr>
        <w:t>Troilus and Criseyde</w:t>
      </w:r>
      <w:r w:rsidR="00D477D6" w:rsidRPr="0072744E">
        <w:t xml:space="preserve">, tragedy strikes when Criseyde must leave Troy, and </w:t>
      </w:r>
      <w:r w:rsidR="004B6052">
        <w:t>both she and Troilus</w:t>
      </w:r>
      <w:r w:rsidR="00D477D6" w:rsidRPr="0072744E">
        <w:t xml:space="preserve"> are heartbroken. By the end of the story, the woeful Criseyde has been persuaded to </w:t>
      </w:r>
      <w:r w:rsidR="00D477D6" w:rsidRPr="0072744E">
        <w:lastRenderedPageBreak/>
        <w:t xml:space="preserve">take another lover, and Troilus is killed in a battle with the Greeks. </w:t>
      </w:r>
      <w:r w:rsidR="00051569" w:rsidRPr="0072744E">
        <w:t xml:space="preserve">For the </w:t>
      </w:r>
      <w:r w:rsidR="00051569" w:rsidRPr="0072744E">
        <w:rPr>
          <w:i/>
        </w:rPr>
        <w:t>Morte Darthur</w:t>
      </w:r>
      <w:r w:rsidR="00051569" w:rsidRPr="0072744E">
        <w:t>, t</w:t>
      </w:r>
      <w:r w:rsidR="00D477D6" w:rsidRPr="0072744E">
        <w:t>ragedy</w:t>
      </w:r>
      <w:r w:rsidR="00051569" w:rsidRPr="0072744E">
        <w:t xml:space="preserve"> means the end of the Round Table fellowship and the wretched, or at least ignominious deaths of the once-noble main characters, Arthur, G</w:t>
      </w:r>
      <w:r w:rsidR="004B6052">
        <w:t>uinevere, and Launcelot</w:t>
      </w:r>
      <w:r w:rsidR="00051569" w:rsidRPr="0072744E">
        <w:t xml:space="preserve">. In both stories, we see characters who once “stood in greet </w:t>
      </w:r>
      <w:proofErr w:type="spellStart"/>
      <w:r w:rsidR="00051569" w:rsidRPr="0072744E">
        <w:t>prosperitee</w:t>
      </w:r>
      <w:proofErr w:type="spellEnd"/>
      <w:r w:rsidR="00051569" w:rsidRPr="0072744E">
        <w:t>” and have fallen into “</w:t>
      </w:r>
      <w:proofErr w:type="spellStart"/>
      <w:r w:rsidR="00051569" w:rsidRPr="0072744E">
        <w:t>myserie</w:t>
      </w:r>
      <w:proofErr w:type="spellEnd"/>
      <w:r w:rsidR="00051569" w:rsidRPr="0072744E">
        <w:t>” and, for the most part, death.</w:t>
      </w:r>
    </w:p>
    <w:p w14:paraId="30DD4ADD" w14:textId="75689828" w:rsidR="00051569" w:rsidRPr="0072744E" w:rsidRDefault="00051569" w:rsidP="002B186B">
      <w:pPr>
        <w:spacing w:line="480" w:lineRule="auto"/>
      </w:pPr>
      <w:r w:rsidRPr="0072744E">
        <w:tab/>
      </w:r>
      <w:r w:rsidR="00D6424B" w:rsidRPr="0072744E">
        <w:t>In addition to the u</w:t>
      </w:r>
      <w:r w:rsidR="004B6052">
        <w:t>sual medieval markers of the genre</w:t>
      </w:r>
      <w:r w:rsidR="00D6424B" w:rsidRPr="0072744E">
        <w:t>, these two tragedies also share a</w:t>
      </w:r>
      <w:r w:rsidR="00D477D6" w:rsidRPr="0072744E">
        <w:t>nother</w:t>
      </w:r>
      <w:r w:rsidR="00D6424B" w:rsidRPr="0072744E">
        <w:t xml:space="preserve"> important </w:t>
      </w:r>
      <w:r w:rsidR="00D477D6" w:rsidRPr="0072744E">
        <w:t>characteristic</w:t>
      </w:r>
      <w:r w:rsidR="00D6424B" w:rsidRPr="0072744E">
        <w:t xml:space="preserve">. In both works, the tragic sections </w:t>
      </w:r>
      <w:r w:rsidR="008727E5">
        <w:t>follow</w:t>
      </w:r>
      <w:r w:rsidR="00D6424B" w:rsidRPr="0072744E">
        <w:t xml:space="preserve"> areas with high concentrations of what I will call “sight events.” These events are moments in the text</w:t>
      </w:r>
      <w:r w:rsidR="00D477D6" w:rsidRPr="0072744E">
        <w:t xml:space="preserve"> when </w:t>
      </w:r>
      <w:r w:rsidR="00587F89" w:rsidRPr="0072744E">
        <w:t xml:space="preserve">the narrator </w:t>
      </w:r>
      <w:r w:rsidR="00D6424B" w:rsidRPr="0072744E">
        <w:t>describe</w:t>
      </w:r>
      <w:r w:rsidR="00587F89" w:rsidRPr="0072744E">
        <w:t>s a character</w:t>
      </w:r>
      <w:r w:rsidR="00D6424B" w:rsidRPr="0072744E">
        <w:t xml:space="preserve"> as </w:t>
      </w:r>
      <w:r w:rsidR="00D477D6" w:rsidRPr="0072744E">
        <w:t xml:space="preserve">actively </w:t>
      </w:r>
      <w:r w:rsidR="00D6424B" w:rsidRPr="0072744E">
        <w:t>“looking</w:t>
      </w:r>
      <w:r w:rsidR="00D477D6" w:rsidRPr="0072744E">
        <w:t>,”</w:t>
      </w:r>
      <w:r w:rsidR="00D6424B" w:rsidRPr="0072744E">
        <w:t xml:space="preserve"> “seeing” or “casting his/her eyes” </w:t>
      </w:r>
      <w:r w:rsidR="00392793" w:rsidRPr="0072744E">
        <w:t xml:space="preserve">(or a variation thereon) </w:t>
      </w:r>
      <w:r w:rsidR="00D6424B" w:rsidRPr="0072744E">
        <w:t xml:space="preserve">at </w:t>
      </w:r>
      <w:r w:rsidR="00587F89" w:rsidRPr="0072744E">
        <w:t>an object</w:t>
      </w:r>
      <w:r w:rsidR="00392793" w:rsidRPr="0072744E">
        <w:t xml:space="preserve"> </w:t>
      </w:r>
      <w:r w:rsidR="00D6424B" w:rsidRPr="0072744E">
        <w:t xml:space="preserve">that </w:t>
      </w:r>
      <w:r w:rsidR="00392793" w:rsidRPr="0072744E">
        <w:t>requires</w:t>
      </w:r>
      <w:r w:rsidR="00D6424B" w:rsidRPr="0072744E">
        <w:t xml:space="preserve"> interpretation.</w:t>
      </w:r>
      <w:r w:rsidR="00392793" w:rsidRPr="0072744E">
        <w:t xml:space="preserve"> The </w:t>
      </w:r>
      <w:r w:rsidR="00587F89" w:rsidRPr="0072744E">
        <w:t>object</w:t>
      </w:r>
      <w:r w:rsidR="00392793" w:rsidRPr="0072744E">
        <w:t xml:space="preserve"> in question may be another character, as in </w:t>
      </w:r>
      <w:r w:rsidR="00392793" w:rsidRPr="0072744E">
        <w:rPr>
          <w:i/>
        </w:rPr>
        <w:t>Troilus and Criseyde</w:t>
      </w:r>
      <w:r w:rsidR="004B6052">
        <w:t xml:space="preserve"> when</w:t>
      </w:r>
      <w:r w:rsidR="00392793" w:rsidRPr="0072744E">
        <w:t xml:space="preserve"> the title characters </w:t>
      </w:r>
      <w:r w:rsidR="00587F89" w:rsidRPr="0072744E">
        <w:t xml:space="preserve">frequently </w:t>
      </w:r>
      <w:r w:rsidR="00797ACD" w:rsidRPr="0072744E">
        <w:t>gaze at each other; or it may be</w:t>
      </w:r>
      <w:r w:rsidR="00392793" w:rsidRPr="0072744E">
        <w:t xml:space="preserve"> a wondrous spectacle like a fellowship of knights or the </w:t>
      </w:r>
      <w:r w:rsidR="00587F89" w:rsidRPr="0072744E">
        <w:t xml:space="preserve">Holy </w:t>
      </w:r>
      <w:r w:rsidR="00392793" w:rsidRPr="0072744E">
        <w:t xml:space="preserve">Grail as in the </w:t>
      </w:r>
      <w:r w:rsidR="00392793" w:rsidRPr="0072744E">
        <w:rPr>
          <w:i/>
        </w:rPr>
        <w:t>Morte Darthur</w:t>
      </w:r>
      <w:r w:rsidR="00392793" w:rsidRPr="0072744E">
        <w:t>. In both texts, the highest density of sight events occurs right before the event that precipitates the characters’ fall from prosperity.</w:t>
      </w:r>
    </w:p>
    <w:p w14:paraId="5A5633AE" w14:textId="77777777" w:rsidR="006F3141" w:rsidRPr="0072744E" w:rsidRDefault="006F3141" w:rsidP="002B186B">
      <w:pPr>
        <w:spacing w:line="480" w:lineRule="auto"/>
      </w:pPr>
    </w:p>
    <w:p w14:paraId="25FCB04B" w14:textId="4DF579E7" w:rsidR="00267F7B" w:rsidRPr="0072744E" w:rsidRDefault="00B21008" w:rsidP="002B186B">
      <w:pPr>
        <w:spacing w:line="480" w:lineRule="auto"/>
        <w:rPr>
          <w:b/>
        </w:rPr>
      </w:pPr>
      <w:r w:rsidRPr="0072744E">
        <w:rPr>
          <w:b/>
        </w:rPr>
        <w:t>The Argument</w:t>
      </w:r>
    </w:p>
    <w:p w14:paraId="4B32ADD0" w14:textId="1C4166F1" w:rsidR="00587F89" w:rsidRPr="0072744E" w:rsidRDefault="00267F7B" w:rsidP="002B186B">
      <w:pPr>
        <w:spacing w:line="480" w:lineRule="auto"/>
        <w:ind w:firstLine="720"/>
      </w:pPr>
      <w:r w:rsidRPr="0072744E">
        <w:t xml:space="preserve">In this extended study, I </w:t>
      </w:r>
      <w:r w:rsidR="00686028" w:rsidRPr="0072744E">
        <w:t>propose to</w:t>
      </w:r>
      <w:r w:rsidRPr="0072744E">
        <w:t xml:space="preserve"> examine </w:t>
      </w:r>
      <w:r w:rsidR="00686028" w:rsidRPr="0072744E">
        <w:t>th</w:t>
      </w:r>
      <w:r w:rsidR="008727E5">
        <w:t>o</w:t>
      </w:r>
      <w:r w:rsidR="00686028" w:rsidRPr="0072744E">
        <w:t xml:space="preserve">se </w:t>
      </w:r>
      <w:r w:rsidRPr="0072744E">
        <w:t xml:space="preserve">areas of </w:t>
      </w:r>
      <w:r w:rsidRPr="0072744E">
        <w:rPr>
          <w:i/>
        </w:rPr>
        <w:t xml:space="preserve">Troilus and Criseyde </w:t>
      </w:r>
      <w:r w:rsidRPr="0072744E">
        <w:t xml:space="preserve">and </w:t>
      </w:r>
      <w:r w:rsidRPr="0072744E">
        <w:rPr>
          <w:i/>
        </w:rPr>
        <w:t xml:space="preserve">Le Morte Darthur </w:t>
      </w:r>
      <w:r w:rsidRPr="0072744E">
        <w:t>that contain high concentrations of</w:t>
      </w:r>
      <w:r w:rsidR="00587F89" w:rsidRPr="0072744E">
        <w:t xml:space="preserve"> sight </w:t>
      </w:r>
      <w:r w:rsidRPr="0072744E">
        <w:t xml:space="preserve">events. </w:t>
      </w:r>
      <w:r w:rsidR="00587F89" w:rsidRPr="0072744E">
        <w:t>Often these sight events lead characters to consider the nature of the True Good, or “</w:t>
      </w:r>
      <w:proofErr w:type="spellStart"/>
      <w:r w:rsidR="00587F89" w:rsidRPr="0072744E">
        <w:t>Suffi</w:t>
      </w:r>
      <w:r w:rsidR="008727E5">
        <w:t>s</w:t>
      </w:r>
      <w:r w:rsidR="00587F89" w:rsidRPr="0072744E">
        <w:t>aunce</w:t>
      </w:r>
      <w:proofErr w:type="spellEnd"/>
      <w:r w:rsidR="00587F89" w:rsidRPr="0072744E">
        <w:t xml:space="preserve">” as Chaucer calls it in </w:t>
      </w:r>
      <w:r w:rsidR="00587F89" w:rsidRPr="0072744E">
        <w:rPr>
          <w:i/>
        </w:rPr>
        <w:t>Boece</w:t>
      </w:r>
      <w:r w:rsidR="00587F89" w:rsidRPr="0072744E">
        <w:t xml:space="preserve">. </w:t>
      </w:r>
      <w:r w:rsidR="00797ACD" w:rsidRPr="0072744E">
        <w:t>F</w:t>
      </w:r>
      <w:r w:rsidR="00587F89" w:rsidRPr="0072744E">
        <w:t xml:space="preserve">or characters like Troilus, Criseyde, Arthur, Guinevere, and Launcelot, who cast their eyes on earthly pleasures </w:t>
      </w:r>
      <w:r w:rsidR="00167D1E" w:rsidRPr="0072744E">
        <w:t>such as</w:t>
      </w:r>
      <w:r w:rsidR="00587F89" w:rsidRPr="0072744E">
        <w:t xml:space="preserve"> </w:t>
      </w:r>
      <w:r w:rsidR="00167D1E" w:rsidRPr="0072744E">
        <w:t xml:space="preserve">their </w:t>
      </w:r>
      <w:r w:rsidR="00797ACD" w:rsidRPr="0072744E">
        <w:t>courtly lovers</w:t>
      </w:r>
      <w:r w:rsidR="00587F89" w:rsidRPr="0072744E">
        <w:t xml:space="preserve"> or </w:t>
      </w:r>
      <w:r w:rsidR="00167D1E" w:rsidRPr="0072744E">
        <w:t>their</w:t>
      </w:r>
      <w:r w:rsidR="00587F89" w:rsidRPr="0072744E">
        <w:t xml:space="preserve"> strong fellowship of knights and determine these to be the highest good, only tragedy can ensue. </w:t>
      </w:r>
      <w:r w:rsidR="00797ACD" w:rsidRPr="0072744E">
        <w:t xml:space="preserve">However, when characters like Galahad use the lens of Christianity to determine that God is the True Good, they are rewarded for their </w:t>
      </w:r>
      <w:r w:rsidR="00797ACD" w:rsidRPr="0072744E">
        <w:lastRenderedPageBreak/>
        <w:t xml:space="preserve">diligence. </w:t>
      </w:r>
      <w:r w:rsidR="00167D1E" w:rsidRPr="0072744E">
        <w:t xml:space="preserve">In their search for earthly sufficiency, </w:t>
      </w:r>
      <w:r w:rsidR="00797ACD" w:rsidRPr="0072744E">
        <w:t xml:space="preserve">many of </w:t>
      </w:r>
      <w:r w:rsidR="00167D1E" w:rsidRPr="0072744E">
        <w:t xml:space="preserve">these characters also wrestle with the question of whether they control their own fates or whether God has planned their lives for them. </w:t>
      </w:r>
      <w:r w:rsidR="00587F89" w:rsidRPr="0072744E">
        <w:t xml:space="preserve">Ultimately, I will argue that paying attention to sight events in both </w:t>
      </w:r>
      <w:r w:rsidR="00167D1E" w:rsidRPr="0072744E">
        <w:t xml:space="preserve">the </w:t>
      </w:r>
      <w:r w:rsidR="00167D1E" w:rsidRPr="0072744E">
        <w:rPr>
          <w:i/>
        </w:rPr>
        <w:t xml:space="preserve">Morte Darthur </w:t>
      </w:r>
      <w:r w:rsidR="00167D1E" w:rsidRPr="0072744E">
        <w:t xml:space="preserve">and </w:t>
      </w:r>
      <w:r w:rsidR="00167D1E" w:rsidRPr="0072744E">
        <w:rPr>
          <w:i/>
        </w:rPr>
        <w:t xml:space="preserve">Troilus and Criseyde </w:t>
      </w:r>
      <w:r w:rsidR="00587F89" w:rsidRPr="0072744E">
        <w:t>helps us to better understand the medieval genre of tragedy</w:t>
      </w:r>
      <w:r w:rsidR="00167D1E" w:rsidRPr="0072744E">
        <w:t xml:space="preserve"> in two ways: it helps us recognize the centrality of the search for the true good in </w:t>
      </w:r>
      <w:r w:rsidR="009922DB" w:rsidRPr="0072744E">
        <w:t xml:space="preserve">medieval tragedy, and </w:t>
      </w:r>
      <w:r w:rsidR="00797ACD" w:rsidRPr="0072744E">
        <w:t xml:space="preserve">it </w:t>
      </w:r>
      <w:r w:rsidR="00587F89" w:rsidRPr="0072744E">
        <w:t xml:space="preserve">helps </w:t>
      </w:r>
      <w:r w:rsidR="009922DB" w:rsidRPr="0072744E">
        <w:t xml:space="preserve">characters, and ultimately readers, </w:t>
      </w:r>
      <w:r w:rsidR="0079410E">
        <w:t>to meditate upon</w:t>
      </w:r>
      <w:r w:rsidR="009922DB" w:rsidRPr="0072744E">
        <w:t xml:space="preserve"> the</w:t>
      </w:r>
      <w:r w:rsidR="00587F89" w:rsidRPr="0072744E">
        <w:t xml:space="preserve"> question that both Chaucer and Malory propose several times in their texts: can humans </w:t>
      </w:r>
      <w:r w:rsidR="009922DB" w:rsidRPr="0072744E">
        <w:t>determine</w:t>
      </w:r>
      <w:r w:rsidR="00587F89" w:rsidRPr="0072744E">
        <w:t xml:space="preserve"> their own fates, or must we always take the adventure God has ordained?</w:t>
      </w:r>
      <w:r w:rsidR="002B186B">
        <w:rPr>
          <w:rStyle w:val="FootnoteReference"/>
        </w:rPr>
        <w:footnoteReference w:id="1"/>
      </w:r>
    </w:p>
    <w:p w14:paraId="2ECBF494" w14:textId="77777777" w:rsidR="00833620" w:rsidRDefault="00833620" w:rsidP="00833620">
      <w:pPr>
        <w:spacing w:line="480" w:lineRule="auto"/>
        <w:rPr>
          <w:b/>
        </w:rPr>
      </w:pPr>
    </w:p>
    <w:p w14:paraId="34FCC8C6" w14:textId="77777777" w:rsidR="00833620" w:rsidRPr="0072744E" w:rsidRDefault="00833620" w:rsidP="00833620">
      <w:pPr>
        <w:spacing w:line="480" w:lineRule="auto"/>
        <w:rPr>
          <w:b/>
        </w:rPr>
      </w:pPr>
      <w:r w:rsidRPr="0072744E">
        <w:rPr>
          <w:b/>
        </w:rPr>
        <w:t>Chapter Overviews</w:t>
      </w:r>
    </w:p>
    <w:p w14:paraId="60AF2407" w14:textId="77777777" w:rsidR="00833620" w:rsidRPr="0072744E" w:rsidRDefault="00833620" w:rsidP="00833620">
      <w:pPr>
        <w:spacing w:line="480" w:lineRule="auto"/>
      </w:pPr>
      <w:r w:rsidRPr="0072744E">
        <w:t xml:space="preserve">Introduction </w:t>
      </w:r>
    </w:p>
    <w:p w14:paraId="3A06010D" w14:textId="77777777" w:rsidR="00833620" w:rsidRPr="0072744E" w:rsidRDefault="00833620" w:rsidP="00833620">
      <w:pPr>
        <w:spacing w:line="480" w:lineRule="auto"/>
        <w:ind w:left="720"/>
      </w:pPr>
      <w:r w:rsidRPr="0072744E">
        <w:t>In the introduction, I will lay out the broad historical context that I will gain from my reading of historical texts, and I will show how these ideas could have been transmitted to Chaucer and Malory.</w:t>
      </w:r>
    </w:p>
    <w:p w14:paraId="136327C4" w14:textId="444D2799" w:rsidR="00833620" w:rsidRPr="0072744E" w:rsidRDefault="00833620" w:rsidP="00833620">
      <w:pPr>
        <w:spacing w:line="480" w:lineRule="auto"/>
        <w:rPr>
          <w:i/>
        </w:rPr>
      </w:pPr>
      <w:r w:rsidRPr="0072744E">
        <w:t>Ch</w:t>
      </w:r>
      <w:r w:rsidR="00505E6D">
        <w:t>apter</w:t>
      </w:r>
      <w:r w:rsidRPr="0072744E">
        <w:t xml:space="preserve"> 1: Chaucer: </w:t>
      </w:r>
      <w:r w:rsidRPr="0072744E">
        <w:rPr>
          <w:i/>
        </w:rPr>
        <w:t xml:space="preserve">Troilus and Criseyde </w:t>
      </w:r>
      <w:r w:rsidRPr="0072744E">
        <w:t xml:space="preserve">and </w:t>
      </w:r>
      <w:r w:rsidRPr="0072744E">
        <w:rPr>
          <w:i/>
        </w:rPr>
        <w:t>Boece</w:t>
      </w:r>
    </w:p>
    <w:p w14:paraId="5DF94E16" w14:textId="3E3E1A4F" w:rsidR="00833620" w:rsidRPr="0072744E" w:rsidRDefault="00833620" w:rsidP="00833620">
      <w:pPr>
        <w:spacing w:line="480" w:lineRule="auto"/>
        <w:ind w:left="720"/>
      </w:pPr>
      <w:r w:rsidRPr="0072744E">
        <w:t xml:space="preserve">I have already written a conference-length paper on this topic in which I examine </w:t>
      </w:r>
      <w:r w:rsidRPr="0072744E">
        <w:rPr>
          <w:i/>
        </w:rPr>
        <w:t xml:space="preserve">Troilus and Criseyde </w:t>
      </w:r>
      <w:r w:rsidRPr="0072744E">
        <w:t>in light of</w:t>
      </w:r>
      <w:r>
        <w:t xml:space="preserve"> the description of sight and reason in</w:t>
      </w:r>
      <w:r w:rsidRPr="0072744E">
        <w:t xml:space="preserve"> </w:t>
      </w:r>
      <w:r w:rsidRPr="0072744E">
        <w:rPr>
          <w:i/>
        </w:rPr>
        <w:t>Boece</w:t>
      </w:r>
      <w:r w:rsidRPr="0072744E">
        <w:t xml:space="preserve">. I argue that the tragedy in </w:t>
      </w:r>
      <w:r w:rsidRPr="0072744E">
        <w:rPr>
          <w:i/>
        </w:rPr>
        <w:t xml:space="preserve">Troilus and Criseyde </w:t>
      </w:r>
      <w:r w:rsidRPr="0072744E">
        <w:t>is precipitated by the title characters’ faulty use of sight and reason to determine their True Good, or “</w:t>
      </w:r>
      <w:proofErr w:type="spellStart"/>
      <w:r w:rsidRPr="0072744E">
        <w:t>Suffisaunce</w:t>
      </w:r>
      <w:proofErr w:type="spellEnd"/>
      <w:r w:rsidRPr="0072744E">
        <w:t xml:space="preserve">.” This chapter will help me develop my </w:t>
      </w:r>
      <w:r w:rsidR="00E53D65">
        <w:t>model</w:t>
      </w:r>
      <w:r w:rsidRPr="0072744E">
        <w:t xml:space="preserve"> for the use of sight and reason in tragedy, which I can then apply to the following chapters on Malory’s </w:t>
      </w:r>
      <w:r w:rsidRPr="0072744E">
        <w:rPr>
          <w:i/>
        </w:rPr>
        <w:t>Morte Darthur.</w:t>
      </w:r>
      <w:r w:rsidRPr="0072744E">
        <w:t xml:space="preserve"> </w:t>
      </w:r>
    </w:p>
    <w:p w14:paraId="40359190" w14:textId="5EF4E382" w:rsidR="00833620" w:rsidRPr="0072744E" w:rsidRDefault="00833620" w:rsidP="00833620">
      <w:pPr>
        <w:spacing w:line="480" w:lineRule="auto"/>
      </w:pPr>
      <w:r w:rsidRPr="0072744E">
        <w:t>Ch</w:t>
      </w:r>
      <w:r w:rsidR="00505E6D">
        <w:t>apter</w:t>
      </w:r>
      <w:r w:rsidRPr="0072744E">
        <w:t xml:space="preserve"> 2: Malory: </w:t>
      </w:r>
      <w:proofErr w:type="spellStart"/>
      <w:r w:rsidRPr="0072744E">
        <w:t>Balin</w:t>
      </w:r>
      <w:proofErr w:type="spellEnd"/>
    </w:p>
    <w:p w14:paraId="621E068B" w14:textId="50361CDD" w:rsidR="00833620" w:rsidRPr="0072744E" w:rsidRDefault="00833620" w:rsidP="00833620">
      <w:pPr>
        <w:spacing w:line="480" w:lineRule="auto"/>
        <w:ind w:left="720"/>
      </w:pPr>
      <w:r w:rsidRPr="0072744E">
        <w:lastRenderedPageBreak/>
        <w:t xml:space="preserve">Some </w:t>
      </w:r>
      <w:r w:rsidR="008727E5">
        <w:t>scholar</w:t>
      </w:r>
      <w:r w:rsidRPr="0072744E">
        <w:t xml:space="preserve">s, like Ralph Norris, have deemed </w:t>
      </w:r>
      <w:proofErr w:type="spellStart"/>
      <w:r w:rsidRPr="0072744E">
        <w:t>Balin</w:t>
      </w:r>
      <w:proofErr w:type="spellEnd"/>
      <w:r w:rsidRPr="0072744E">
        <w:t xml:space="preserve"> to be an early tragic hero in the </w:t>
      </w:r>
      <w:r w:rsidRPr="0072744E">
        <w:rPr>
          <w:i/>
        </w:rPr>
        <w:t>Morte Darthur</w:t>
      </w:r>
      <w:r w:rsidRPr="0072744E">
        <w:t xml:space="preserve">. I plan to examine the ways that </w:t>
      </w:r>
      <w:proofErr w:type="spellStart"/>
      <w:r w:rsidRPr="0072744E">
        <w:t>Balin</w:t>
      </w:r>
      <w:proofErr w:type="spellEnd"/>
      <w:r w:rsidRPr="0072744E">
        <w:t xml:space="preserve"> interacts with sight or invisibility (since one of his quests is to k</w:t>
      </w:r>
      <w:r>
        <w:t xml:space="preserve">ill the invisible knight </w:t>
      </w:r>
      <w:proofErr w:type="spellStart"/>
      <w:r>
        <w:t>Garlon</w:t>
      </w:r>
      <w:proofErr w:type="spellEnd"/>
      <w:r w:rsidR="00D1515F">
        <w:t>) and the ways that</w:t>
      </w:r>
      <w:r w:rsidRPr="0072744E">
        <w:t xml:space="preserve"> </w:t>
      </w:r>
      <w:proofErr w:type="spellStart"/>
      <w:r w:rsidRPr="0072744E">
        <w:t>Balin’s</w:t>
      </w:r>
      <w:proofErr w:type="spellEnd"/>
      <w:r w:rsidRPr="0072744E">
        <w:t xml:space="preserve"> sight events cause his personal tragedy of killing and being killed by his own brother.</w:t>
      </w:r>
    </w:p>
    <w:p w14:paraId="34EDFC68" w14:textId="73C8E4A4" w:rsidR="00833620" w:rsidRPr="0072744E" w:rsidRDefault="00833620" w:rsidP="00833620">
      <w:pPr>
        <w:spacing w:line="480" w:lineRule="auto"/>
      </w:pPr>
      <w:r w:rsidRPr="0072744E">
        <w:t>Ch</w:t>
      </w:r>
      <w:r w:rsidR="00505E6D">
        <w:t>apter</w:t>
      </w:r>
      <w:r w:rsidRPr="0072744E">
        <w:t xml:space="preserve"> 3: Malory: Galahad </w:t>
      </w:r>
    </w:p>
    <w:p w14:paraId="28F8E990" w14:textId="77777777" w:rsidR="00833620" w:rsidRPr="0072744E" w:rsidRDefault="00833620" w:rsidP="00833620">
      <w:pPr>
        <w:spacing w:line="480" w:lineRule="auto"/>
        <w:ind w:left="720"/>
      </w:pPr>
      <w:r w:rsidRPr="0072744E">
        <w:t xml:space="preserve">In most of my chapters I plan to examine how characters use sight and reason incorrectly, which leads to tragedy. However, Galahad accomplishes the perfect comedy. He achieves the Holy Grail, and his wish to be subsumed into heaven is granted. In this chapter I will show how Galahad correctly uses sight and reason to attain a happy ending. </w:t>
      </w:r>
    </w:p>
    <w:p w14:paraId="70251399" w14:textId="7CF84F6D" w:rsidR="00833620" w:rsidRPr="0072744E" w:rsidRDefault="00833620" w:rsidP="00833620">
      <w:pPr>
        <w:spacing w:line="480" w:lineRule="auto"/>
      </w:pPr>
      <w:r w:rsidRPr="0072744E">
        <w:t>Ch</w:t>
      </w:r>
      <w:r w:rsidR="00505E6D">
        <w:t>apter</w:t>
      </w:r>
      <w:r w:rsidRPr="0072744E">
        <w:t xml:space="preserve"> 4: Malory: Arthur, Guinevere,</w:t>
      </w:r>
      <w:r>
        <w:t xml:space="preserve"> and</w:t>
      </w:r>
      <w:r w:rsidRPr="0072744E">
        <w:t xml:space="preserve"> Launcelot </w:t>
      </w:r>
    </w:p>
    <w:p w14:paraId="0A24498D" w14:textId="10E2986A" w:rsidR="00587F89" w:rsidRPr="002504B6" w:rsidRDefault="00833620" w:rsidP="00833620">
      <w:pPr>
        <w:spacing w:line="480" w:lineRule="auto"/>
        <w:ind w:left="720"/>
      </w:pPr>
      <w:r w:rsidRPr="0072744E">
        <w:t xml:space="preserve">In this chapter, I will examine the final section of the </w:t>
      </w:r>
      <w:r w:rsidRPr="0072744E">
        <w:rPr>
          <w:i/>
        </w:rPr>
        <w:t xml:space="preserve">Morte Darthur </w:t>
      </w:r>
      <w:r w:rsidRPr="0072744E">
        <w:t xml:space="preserve">in which the Round Table society collapses and most of the main characters die. I plan to examine the final sight-events of Arthur, Guinevere, and Launcelot to determine the causes of their tragedies and </w:t>
      </w:r>
      <w:r w:rsidR="00E53D65">
        <w:t xml:space="preserve">to </w:t>
      </w:r>
      <w:r w:rsidRPr="0072744E">
        <w:t>show how</w:t>
      </w:r>
      <w:r w:rsidR="00E53D65">
        <w:t>,</w:t>
      </w:r>
      <w:r w:rsidRPr="0072744E">
        <w:t xml:space="preserve"> ultimately, the </w:t>
      </w:r>
      <w:r w:rsidRPr="0072744E">
        <w:rPr>
          <w:i/>
        </w:rPr>
        <w:t>Mort</w:t>
      </w:r>
      <w:r w:rsidRPr="002504B6">
        <w:rPr>
          <w:i/>
        </w:rPr>
        <w:t xml:space="preserve">e Darthur </w:t>
      </w:r>
      <w:r w:rsidRPr="002504B6">
        <w:t xml:space="preserve">is a tragedy.  </w:t>
      </w:r>
    </w:p>
    <w:p w14:paraId="2AA9E1DB" w14:textId="5D0BFF82" w:rsidR="0079410E" w:rsidRPr="002504B6" w:rsidRDefault="0079410E" w:rsidP="0079410E">
      <w:pPr>
        <w:spacing w:line="480" w:lineRule="auto"/>
      </w:pPr>
      <w:r w:rsidRPr="002504B6">
        <w:t>Ch</w:t>
      </w:r>
      <w:r w:rsidR="00505E6D">
        <w:t>apter</w:t>
      </w:r>
      <w:r w:rsidRPr="002504B6">
        <w:t xml:space="preserve"> 5: Fate, Fortune, Freewill and Vision</w:t>
      </w:r>
    </w:p>
    <w:p w14:paraId="64D3DCD6" w14:textId="10470DEA" w:rsidR="00833620" w:rsidRPr="0072744E" w:rsidRDefault="0079410E" w:rsidP="002504B6">
      <w:pPr>
        <w:spacing w:line="480" w:lineRule="auto"/>
        <w:ind w:left="720"/>
      </w:pPr>
      <w:r w:rsidRPr="002504B6">
        <w:t>In this final chapter, I will consider the relationship between the vision/reason process and Fate/Freewill. The vision process, which includes reasoning and intelligence (as I will explain more fully below), impl</w:t>
      </w:r>
      <w:r w:rsidR="003D74B1" w:rsidRPr="002504B6">
        <w:t>ies</w:t>
      </w:r>
      <w:r w:rsidRPr="002504B6">
        <w:t xml:space="preserve"> a certain amount of freewill since characters seem to be given the opportunity to see and interpret </w:t>
      </w:r>
      <w:r w:rsidR="00C162BF" w:rsidRPr="002504B6">
        <w:t xml:space="preserve">for themselves the actions of </w:t>
      </w:r>
      <w:r w:rsidRPr="002504B6">
        <w:t>other characters as well as mysterious objects and events</w:t>
      </w:r>
      <w:r w:rsidR="00C162BF" w:rsidRPr="002504B6">
        <w:t>.</w:t>
      </w:r>
      <w:r w:rsidR="003D74B1" w:rsidRPr="002504B6">
        <w:t xml:space="preserve"> However, in both </w:t>
      </w:r>
      <w:r w:rsidR="003D74B1" w:rsidRPr="002504B6">
        <w:rPr>
          <w:i/>
        </w:rPr>
        <w:t xml:space="preserve">Troilus and Criseyde </w:t>
      </w:r>
      <w:r w:rsidR="003D74B1" w:rsidRPr="002504B6">
        <w:t xml:space="preserve">and the </w:t>
      </w:r>
      <w:r w:rsidR="003D74B1" w:rsidRPr="002504B6">
        <w:rPr>
          <w:i/>
        </w:rPr>
        <w:t xml:space="preserve">Morte Darthur, </w:t>
      </w:r>
      <w:r w:rsidR="00505E6D">
        <w:t>doubt in one’s freewill</w:t>
      </w:r>
      <w:r w:rsidR="003D74B1" w:rsidRPr="002504B6">
        <w:t xml:space="preserve"> can be seen in Troilus’ meditation on fate or Merlin’s plentiful prophecies in the beginning sections of the </w:t>
      </w:r>
      <w:r w:rsidR="003D74B1" w:rsidRPr="002504B6">
        <w:rPr>
          <w:i/>
        </w:rPr>
        <w:t xml:space="preserve">Morte Darthur. </w:t>
      </w:r>
      <w:r w:rsidR="003D74B1" w:rsidRPr="002504B6">
        <w:t xml:space="preserve">Applying the historical lens of sight and reason, I will explore the extent to </w:t>
      </w:r>
      <w:r w:rsidR="003D74B1" w:rsidRPr="002504B6">
        <w:lastRenderedPageBreak/>
        <w:t xml:space="preserve">which characters can influence the ends of their own stories, and the effect that this determinism or lack thereof has on the tragic </w:t>
      </w:r>
      <w:r w:rsidR="003E18A0" w:rsidRPr="002504B6">
        <w:t>aesthetic</w:t>
      </w:r>
      <w:r w:rsidR="003D74B1" w:rsidRPr="002504B6">
        <w:t xml:space="preserve"> of </w:t>
      </w:r>
      <w:r w:rsidR="003E18A0" w:rsidRPr="002504B6">
        <w:t>both works.</w:t>
      </w:r>
    </w:p>
    <w:p w14:paraId="10ED771E" w14:textId="77777777" w:rsidR="00505E6D" w:rsidRDefault="00505E6D" w:rsidP="002B186B">
      <w:pPr>
        <w:spacing w:line="480" w:lineRule="auto"/>
        <w:rPr>
          <w:b/>
        </w:rPr>
      </w:pPr>
    </w:p>
    <w:p w14:paraId="600CB46C" w14:textId="0694EE5E" w:rsidR="00B21008" w:rsidRPr="0072744E" w:rsidRDefault="00B21008" w:rsidP="002B186B">
      <w:pPr>
        <w:spacing w:line="480" w:lineRule="auto"/>
        <w:rPr>
          <w:b/>
        </w:rPr>
      </w:pPr>
      <w:r w:rsidRPr="0072744E">
        <w:rPr>
          <w:b/>
        </w:rPr>
        <w:t xml:space="preserve">Historical Context: </w:t>
      </w:r>
      <w:r w:rsidR="00797ACD" w:rsidRPr="0072744E">
        <w:rPr>
          <w:b/>
        </w:rPr>
        <w:t xml:space="preserve">Modern Gaze vs. </w:t>
      </w:r>
      <w:r w:rsidRPr="0072744E">
        <w:rPr>
          <w:b/>
        </w:rPr>
        <w:t xml:space="preserve">Medieval Sight </w:t>
      </w:r>
    </w:p>
    <w:p w14:paraId="62728BDE" w14:textId="2D8C4123" w:rsidR="00B21008" w:rsidRPr="0072744E" w:rsidRDefault="00B21008" w:rsidP="002B186B">
      <w:pPr>
        <w:spacing w:line="480" w:lineRule="auto"/>
      </w:pPr>
      <w:r w:rsidRPr="0072744E">
        <w:tab/>
        <w:t xml:space="preserve">It would be easy to conflate instances of sight in </w:t>
      </w:r>
      <w:r w:rsidR="00215DA8" w:rsidRPr="0072744E">
        <w:t xml:space="preserve">Chaucer and Malory with our modern concept of the gaze as </w:t>
      </w:r>
      <w:r w:rsidR="004B6052">
        <w:t>defined</w:t>
      </w:r>
      <w:r w:rsidR="00215DA8" w:rsidRPr="0072744E">
        <w:t xml:space="preserve"> by feminist film</w:t>
      </w:r>
      <w:r w:rsidR="004B6052">
        <w:t xml:space="preserve"> critic Laura </w:t>
      </w:r>
      <w:proofErr w:type="spellStart"/>
      <w:r w:rsidR="004B6052">
        <w:t>Mulvey</w:t>
      </w:r>
      <w:proofErr w:type="spellEnd"/>
      <w:r w:rsidR="004B6052">
        <w:t xml:space="preserve"> in her</w:t>
      </w:r>
      <w:r w:rsidR="00215DA8" w:rsidRPr="0072744E">
        <w:t xml:space="preserve"> </w:t>
      </w:r>
      <w:r w:rsidR="004B6052">
        <w:t>“</w:t>
      </w:r>
      <w:r w:rsidR="004B6052" w:rsidRPr="004B6052">
        <w:t>Visua</w:t>
      </w:r>
      <w:r w:rsidR="004B6052">
        <w:t xml:space="preserve">l Pleasure and Narrative Cinema.” </w:t>
      </w:r>
      <w:r w:rsidR="00215DA8" w:rsidRPr="0072744E">
        <w:t xml:space="preserve">According to </w:t>
      </w:r>
      <w:proofErr w:type="spellStart"/>
      <w:r w:rsidR="00215DA8" w:rsidRPr="0072744E">
        <w:t>Mulvey</w:t>
      </w:r>
      <w:proofErr w:type="spellEnd"/>
      <w:r w:rsidR="00215DA8" w:rsidRPr="0072744E">
        <w:t xml:space="preserve">, </w:t>
      </w:r>
      <w:r w:rsidR="004B6052">
        <w:t>because most camerawork in Hollywood was</w:t>
      </w:r>
      <w:r w:rsidR="00E53D65">
        <w:t xml:space="preserve"> and continues to be</w:t>
      </w:r>
      <w:r w:rsidR="004B6052">
        <w:t xml:space="preserve"> </w:t>
      </w:r>
      <w:r w:rsidR="00E53D65">
        <w:t>planned and executed</w:t>
      </w:r>
      <w:r w:rsidR="004B6052">
        <w:t xml:space="preserve"> by men, the films they produce tend to objectify women. </w:t>
      </w:r>
      <w:r w:rsidR="00E96F08">
        <w:t>She argues that t</w:t>
      </w:r>
      <w:r w:rsidR="004B6052">
        <w:t xml:space="preserve">his </w:t>
      </w:r>
      <w:r w:rsidR="00E96F08">
        <w:t>practice only serves to reinforce gender expectations that women are passive and men are active</w:t>
      </w:r>
      <w:r w:rsidR="008727E5">
        <w:t>. Some Malory and Chaucer scholar</w:t>
      </w:r>
      <w:r w:rsidR="00FD48FA" w:rsidRPr="0072744E">
        <w:t>s have used this theoretical lens to examine some of the romantic relationships portrayed in their stories</w:t>
      </w:r>
      <w:r w:rsidR="001E19E7" w:rsidRPr="0072744E">
        <w:rPr>
          <w:rStyle w:val="FootnoteReference"/>
        </w:rPr>
        <w:footnoteReference w:id="2"/>
      </w:r>
      <w:r w:rsidR="00FD48FA" w:rsidRPr="0072744E">
        <w:t xml:space="preserve">; however, as Molly Martin points out in her </w:t>
      </w:r>
      <w:r w:rsidR="00FD48FA" w:rsidRPr="0072744E">
        <w:rPr>
          <w:i/>
        </w:rPr>
        <w:t>Vision and Gender in Malory’s Morte Darthur</w:t>
      </w:r>
      <w:r w:rsidR="00FD48FA" w:rsidRPr="0072744E">
        <w:t>, this is not the most accurate historical framework by which to evaluate the medieval gaze (</w:t>
      </w:r>
      <w:r w:rsidR="00860F9E" w:rsidRPr="0072744E">
        <w:t xml:space="preserve">5-7). She </w:t>
      </w:r>
      <w:r w:rsidR="002504B6">
        <w:t>observes</w:t>
      </w:r>
      <w:r w:rsidR="00860F9E" w:rsidRPr="0072744E">
        <w:t xml:space="preserve"> that medieval theories of vision “destabilize” and “blur” the way that we ought to think about</w:t>
      </w:r>
      <w:r w:rsidR="001E19E7" w:rsidRPr="0072744E">
        <w:t xml:space="preserve"> gender and</w:t>
      </w:r>
      <w:r w:rsidR="00860F9E" w:rsidRPr="0072744E">
        <w:t xml:space="preserve"> gazing in the </w:t>
      </w:r>
      <w:r w:rsidR="00860F9E" w:rsidRPr="0072744E">
        <w:rPr>
          <w:i/>
        </w:rPr>
        <w:t>Morte</w:t>
      </w:r>
      <w:r w:rsidR="00860F9E" w:rsidRPr="0072744E">
        <w:t xml:space="preserve"> (7). The theories of vision </w:t>
      </w:r>
      <w:r w:rsidR="00E96F08">
        <w:t xml:space="preserve">to which Martin refers </w:t>
      </w:r>
      <w:r w:rsidR="001E19E7" w:rsidRPr="0072744E">
        <w:t xml:space="preserve">are those </w:t>
      </w:r>
      <w:r w:rsidR="00E96F08">
        <w:t>under scholarly</w:t>
      </w:r>
      <w:r w:rsidR="001E19E7" w:rsidRPr="0072744E">
        <w:t xml:space="preserve"> debate in the centuries before Malory </w:t>
      </w:r>
      <w:r w:rsidR="00E96F08">
        <w:t>and Chaucer. Between the eleventh and fourteenth centuries</w:t>
      </w:r>
      <w:r w:rsidR="001E19E7" w:rsidRPr="0072744E">
        <w:t xml:space="preserve"> the scholarly consensus</w:t>
      </w:r>
      <w:r w:rsidR="00E96F08">
        <w:t xml:space="preserve"> on optics</w:t>
      </w:r>
      <w:r w:rsidR="001E19E7" w:rsidRPr="0072744E">
        <w:t xml:space="preserve"> </w:t>
      </w:r>
      <w:r w:rsidR="002504B6">
        <w:t>shifted dramatically. The original</w:t>
      </w:r>
      <w:r w:rsidR="001E19E7" w:rsidRPr="0072744E">
        <w:t xml:space="preserve"> theory </w:t>
      </w:r>
      <w:r w:rsidR="002504B6">
        <w:t xml:space="preserve">was that </w:t>
      </w:r>
      <w:r w:rsidR="001E19E7" w:rsidRPr="0072744E">
        <w:t xml:space="preserve">of </w:t>
      </w:r>
      <w:r w:rsidR="002504B6">
        <w:t>“</w:t>
      </w:r>
      <w:r w:rsidR="001E19E7" w:rsidRPr="0072744E">
        <w:t>extramission</w:t>
      </w:r>
      <w:r w:rsidR="00797ACD" w:rsidRPr="0072744E">
        <w:t>,</w:t>
      </w:r>
      <w:r w:rsidR="002504B6">
        <w:t>”</w:t>
      </w:r>
      <w:r w:rsidR="00797ACD" w:rsidRPr="0072744E">
        <w:t xml:space="preserve"> </w:t>
      </w:r>
      <w:r w:rsidR="001E19E7" w:rsidRPr="0072744E">
        <w:t xml:space="preserve">in which the human eye emits </w:t>
      </w:r>
      <w:r w:rsidR="00505E6D">
        <w:t xml:space="preserve">a </w:t>
      </w:r>
      <w:r w:rsidR="002504B6">
        <w:t xml:space="preserve">ray (variously described as a “beam,” “stream,” or even “very fine threads”) </w:t>
      </w:r>
      <w:r w:rsidR="00505E6D">
        <w:t>that</w:t>
      </w:r>
      <w:r w:rsidR="001E19E7" w:rsidRPr="0072744E">
        <w:t xml:space="preserve"> gather</w:t>
      </w:r>
      <w:r w:rsidR="00505E6D">
        <w:t>s</w:t>
      </w:r>
      <w:r w:rsidR="001E19E7" w:rsidRPr="0072744E">
        <w:t xml:space="preserve"> visual information and </w:t>
      </w:r>
      <w:r w:rsidR="00505E6D">
        <w:t xml:space="preserve">then </w:t>
      </w:r>
      <w:r w:rsidR="001E19E7" w:rsidRPr="0072744E">
        <w:t>returns to the eye</w:t>
      </w:r>
      <w:r w:rsidR="002504B6">
        <w:t>. This long-held position was being replaced by</w:t>
      </w:r>
      <w:r w:rsidR="001E19E7" w:rsidRPr="0072744E">
        <w:t xml:space="preserve"> a theory of </w:t>
      </w:r>
      <w:r w:rsidR="002504B6">
        <w:t>“</w:t>
      </w:r>
      <w:r w:rsidR="001E19E7" w:rsidRPr="0072744E">
        <w:t>intromission,</w:t>
      </w:r>
      <w:r w:rsidR="002504B6">
        <w:t>”</w:t>
      </w:r>
      <w:r w:rsidR="001E19E7" w:rsidRPr="0072744E">
        <w:t xml:space="preserve"> in which objects in the material world emit</w:t>
      </w:r>
      <w:r w:rsidR="00E53D65">
        <w:t xml:space="preserve"> a</w:t>
      </w:r>
      <w:r w:rsidR="001E19E7" w:rsidRPr="0072744E">
        <w:t xml:space="preserve"> radiation called “species”</w:t>
      </w:r>
      <w:r w:rsidR="001E19E7" w:rsidRPr="0072744E">
        <w:rPr>
          <w:i/>
        </w:rPr>
        <w:t xml:space="preserve"> </w:t>
      </w:r>
      <w:r w:rsidR="001E19E7" w:rsidRPr="0072744E">
        <w:t>that strikes the eye.</w:t>
      </w:r>
      <w:r w:rsidR="001E19E7" w:rsidRPr="0072744E">
        <w:rPr>
          <w:rStyle w:val="FootnoteReference"/>
        </w:rPr>
        <w:footnoteReference w:id="3"/>
      </w:r>
      <w:r w:rsidR="001E19E7" w:rsidRPr="0072744E">
        <w:t xml:space="preserve"> </w:t>
      </w:r>
      <w:r w:rsidR="002504B6">
        <w:t xml:space="preserve">This radiation is composed of infinitely small particles that emanate from every outward-facing surface of the visible object, </w:t>
      </w:r>
      <w:r w:rsidR="002504B6">
        <w:lastRenderedPageBreak/>
        <w:t xml:space="preserve">and it travels to the eye on its own power. </w:t>
      </w:r>
      <w:r w:rsidR="001E19E7" w:rsidRPr="0072744E">
        <w:t>Th</w:t>
      </w:r>
      <w:r w:rsidR="002504B6">
        <w:t>e debate over extramission and intromission</w:t>
      </w:r>
      <w:r w:rsidR="001E19E7" w:rsidRPr="0072744E">
        <w:t xml:space="preserve"> culminated in the 1260’s with </w:t>
      </w:r>
      <w:r w:rsidR="00D5488D">
        <w:t xml:space="preserve">three works by </w:t>
      </w:r>
      <w:r w:rsidR="001E19E7" w:rsidRPr="0072744E">
        <w:t>Roger Bacon</w:t>
      </w:r>
      <w:r w:rsidR="00D5488D">
        <w:t>:</w:t>
      </w:r>
      <w:r w:rsidR="001E19E7" w:rsidRPr="0072744E">
        <w:t xml:space="preserve"> </w:t>
      </w:r>
      <w:proofErr w:type="spellStart"/>
      <w:r w:rsidR="00587FD9" w:rsidRPr="0072744E">
        <w:rPr>
          <w:i/>
        </w:rPr>
        <w:t>Perspectiva</w:t>
      </w:r>
      <w:proofErr w:type="spellEnd"/>
      <w:r w:rsidR="00587FD9" w:rsidRPr="0072744E">
        <w:rPr>
          <w:i/>
        </w:rPr>
        <w:t xml:space="preserve">, De </w:t>
      </w:r>
      <w:proofErr w:type="spellStart"/>
      <w:r w:rsidR="00587FD9" w:rsidRPr="0072744E">
        <w:rPr>
          <w:i/>
        </w:rPr>
        <w:t>Multiplicatione</w:t>
      </w:r>
      <w:proofErr w:type="spellEnd"/>
      <w:r w:rsidR="00587FD9" w:rsidRPr="0072744E">
        <w:rPr>
          <w:i/>
        </w:rPr>
        <w:t xml:space="preserve"> </w:t>
      </w:r>
      <w:proofErr w:type="spellStart"/>
      <w:r w:rsidR="00587FD9" w:rsidRPr="0072744E">
        <w:rPr>
          <w:i/>
        </w:rPr>
        <w:t>Specierum</w:t>
      </w:r>
      <w:proofErr w:type="spellEnd"/>
      <w:r w:rsidR="00587FD9" w:rsidRPr="0072744E">
        <w:rPr>
          <w:i/>
        </w:rPr>
        <w:t xml:space="preserve">, </w:t>
      </w:r>
      <w:r w:rsidR="00587FD9" w:rsidRPr="0072744E">
        <w:t>and</w:t>
      </w:r>
      <w:r w:rsidR="00587FD9" w:rsidRPr="0072744E">
        <w:rPr>
          <w:i/>
        </w:rPr>
        <w:t xml:space="preserve"> De </w:t>
      </w:r>
      <w:proofErr w:type="spellStart"/>
      <w:r w:rsidR="00587FD9" w:rsidRPr="0072744E">
        <w:rPr>
          <w:i/>
        </w:rPr>
        <w:t>Speculis</w:t>
      </w:r>
      <w:proofErr w:type="spellEnd"/>
      <w:r w:rsidR="00587FD9" w:rsidRPr="0072744E">
        <w:rPr>
          <w:i/>
        </w:rPr>
        <w:t xml:space="preserve"> </w:t>
      </w:r>
      <w:proofErr w:type="spellStart"/>
      <w:r w:rsidR="00587FD9" w:rsidRPr="0072744E">
        <w:rPr>
          <w:i/>
        </w:rPr>
        <w:t>Comburentibus</w:t>
      </w:r>
      <w:proofErr w:type="spellEnd"/>
      <w:r w:rsidR="00587FD9" w:rsidRPr="0072744E">
        <w:t>. In these t</w:t>
      </w:r>
      <w:r w:rsidR="00D5488D">
        <w:t>exts</w:t>
      </w:r>
      <w:r w:rsidR="00587FD9" w:rsidRPr="0072744E">
        <w:t>, Bacon</w:t>
      </w:r>
      <w:r w:rsidR="001E19E7" w:rsidRPr="0072744E">
        <w:t xml:space="preserve"> found a compromise between the two ideas</w:t>
      </w:r>
      <w:r w:rsidR="00E96F08">
        <w:t xml:space="preserve"> of extramission and intromission</w:t>
      </w:r>
      <w:r w:rsidR="001E19E7" w:rsidRPr="0072744E">
        <w:t xml:space="preserve"> and posited that all objects emit species which travel outward, but that </w:t>
      </w:r>
      <w:r w:rsidR="004B7545" w:rsidRPr="0072744E">
        <w:t>the eye retained an ennobling ray that excited the species and allowed it to reach the eye.</w:t>
      </w:r>
    </w:p>
    <w:p w14:paraId="7BB32658" w14:textId="6D22C0F4" w:rsidR="00B21008" w:rsidRPr="0072744E" w:rsidRDefault="004B7545" w:rsidP="002B186B">
      <w:pPr>
        <w:spacing w:line="480" w:lineRule="auto"/>
      </w:pPr>
      <w:r w:rsidRPr="0072744E">
        <w:tab/>
      </w:r>
      <w:r w:rsidR="00D5488D">
        <w:t>At first glance, the connection between the extramission/intromission debate and literature may seem tenuous; however, it represents a reversal in agency and power and has far-reaching implications for the ways that humans think about and interact with the world</w:t>
      </w:r>
      <w:r w:rsidR="00DF45B1">
        <w:t xml:space="preserve">, </w:t>
      </w:r>
      <w:r w:rsidR="00E96F08">
        <w:t>topic</w:t>
      </w:r>
      <w:r w:rsidR="00DF45B1">
        <w:t>s that</w:t>
      </w:r>
      <w:r w:rsidR="00797ACD" w:rsidRPr="0072744E">
        <w:t xml:space="preserve"> interested both medieval scholars and medieval literary authors. For example, in Chaucer’s </w:t>
      </w:r>
      <w:r w:rsidR="00797ACD" w:rsidRPr="0072744E">
        <w:rPr>
          <w:i/>
        </w:rPr>
        <w:t>Boece</w:t>
      </w:r>
      <w:r w:rsidR="00797ACD" w:rsidRPr="0072744E">
        <w:t xml:space="preserve">, his translation of the </w:t>
      </w:r>
      <w:r w:rsidR="00797ACD" w:rsidRPr="0072744E">
        <w:rPr>
          <w:i/>
        </w:rPr>
        <w:t>Consolation of Philosophy</w:t>
      </w:r>
      <w:r w:rsidR="00797ACD" w:rsidRPr="0072744E">
        <w:t xml:space="preserve">, he writes that “[t]he </w:t>
      </w:r>
      <w:proofErr w:type="spellStart"/>
      <w:r w:rsidR="00797ACD" w:rsidRPr="0072744E">
        <w:t>lookynge</w:t>
      </w:r>
      <w:proofErr w:type="spellEnd"/>
      <w:r w:rsidR="00797ACD" w:rsidRPr="0072744E">
        <w:t xml:space="preserve">, by </w:t>
      </w:r>
      <w:proofErr w:type="spellStart"/>
      <w:r w:rsidR="00797ACD" w:rsidRPr="0072744E">
        <w:t>castynge</w:t>
      </w:r>
      <w:proofErr w:type="spellEnd"/>
      <w:r w:rsidR="00797ACD" w:rsidRPr="0072744E">
        <w:t xml:space="preserve"> of his </w:t>
      </w:r>
      <w:proofErr w:type="spellStart"/>
      <w:r w:rsidR="00797ACD" w:rsidRPr="0072744E">
        <w:t>bemys</w:t>
      </w:r>
      <w:proofErr w:type="spellEnd"/>
      <w:r w:rsidR="00797ACD" w:rsidRPr="0072744E">
        <w:t xml:space="preserve">, </w:t>
      </w:r>
      <w:proofErr w:type="spellStart"/>
      <w:r w:rsidR="00797ACD" w:rsidRPr="0072744E">
        <w:t>waiteth</w:t>
      </w:r>
      <w:proofErr w:type="spellEnd"/>
      <w:r w:rsidR="00797ACD" w:rsidRPr="0072744E">
        <w:t xml:space="preserve"> and </w:t>
      </w:r>
      <w:proofErr w:type="spellStart"/>
      <w:r w:rsidR="00797ACD" w:rsidRPr="0072744E">
        <w:t>seeth</w:t>
      </w:r>
      <w:proofErr w:type="spellEnd"/>
      <w:r w:rsidR="00797ACD" w:rsidRPr="0072744E">
        <w:t xml:space="preserve"> </w:t>
      </w:r>
      <w:proofErr w:type="spellStart"/>
      <w:r w:rsidR="00797ACD" w:rsidRPr="0072744E">
        <w:t>fro</w:t>
      </w:r>
      <w:proofErr w:type="spellEnd"/>
      <w:r w:rsidR="00797ACD" w:rsidRPr="0072744E">
        <w:t xml:space="preserve"> </w:t>
      </w:r>
      <w:proofErr w:type="spellStart"/>
      <w:r w:rsidR="00797ACD" w:rsidRPr="0072744E">
        <w:t>afer</w:t>
      </w:r>
      <w:proofErr w:type="spellEnd"/>
      <w:r w:rsidR="00797ACD" w:rsidRPr="0072744E">
        <w:t xml:space="preserve"> al the body </w:t>
      </w:r>
      <w:proofErr w:type="spellStart"/>
      <w:r w:rsidR="00797ACD" w:rsidRPr="0072744E">
        <w:t>togidre</w:t>
      </w:r>
      <w:proofErr w:type="spellEnd"/>
      <w:r w:rsidR="00797ACD" w:rsidRPr="0072744E">
        <w:t xml:space="preserve">, </w:t>
      </w:r>
      <w:proofErr w:type="spellStart"/>
      <w:r w:rsidR="00797ACD" w:rsidRPr="0072744E">
        <w:t>withoute</w:t>
      </w:r>
      <w:proofErr w:type="spellEnd"/>
      <w:r w:rsidR="00797ACD" w:rsidRPr="0072744E">
        <w:t xml:space="preserve"> </w:t>
      </w:r>
      <w:proofErr w:type="spellStart"/>
      <w:r w:rsidR="00797ACD" w:rsidRPr="0072744E">
        <w:t>moevynge</w:t>
      </w:r>
      <w:proofErr w:type="spellEnd"/>
      <w:r w:rsidR="00797ACD" w:rsidRPr="0072744E">
        <w:t xml:space="preserve"> of i</w:t>
      </w:r>
      <w:r w:rsidR="004A743B">
        <w:t xml:space="preserve">tself” (Book V, </w:t>
      </w:r>
      <w:proofErr w:type="spellStart"/>
      <w:r w:rsidR="004A743B">
        <w:t>Prosa</w:t>
      </w:r>
      <w:proofErr w:type="spellEnd"/>
      <w:r w:rsidR="004A743B">
        <w:t xml:space="preserve"> 4, 145-148</w:t>
      </w:r>
      <w:r w:rsidR="00797ACD" w:rsidRPr="0072744E">
        <w:t xml:space="preserve">). </w:t>
      </w:r>
      <w:r w:rsidR="00DF45B1">
        <w:t xml:space="preserve">This </w:t>
      </w:r>
      <w:r w:rsidR="00505E6D">
        <w:t>“</w:t>
      </w:r>
      <w:r w:rsidR="00DF45B1">
        <w:t>[c]</w:t>
      </w:r>
      <w:proofErr w:type="spellStart"/>
      <w:r w:rsidR="00DF45B1">
        <w:t>astyng</w:t>
      </w:r>
      <w:proofErr w:type="spellEnd"/>
      <w:r w:rsidR="00DF45B1">
        <w:t xml:space="preserve"> of … </w:t>
      </w:r>
      <w:proofErr w:type="spellStart"/>
      <w:r w:rsidR="00DF45B1">
        <w:t>bemys</w:t>
      </w:r>
      <w:proofErr w:type="spellEnd"/>
      <w:r w:rsidR="00DF45B1">
        <w:t xml:space="preserve">” puts Chaucer on the extramission side of the debate, but Chaucer is also interested in what follows the physical act of seeing. After the eye has received the visual information, </w:t>
      </w:r>
      <w:r w:rsidR="00797ACD" w:rsidRPr="0072744E">
        <w:t xml:space="preserve">“the </w:t>
      </w:r>
      <w:proofErr w:type="spellStart"/>
      <w:r w:rsidR="00797ACD" w:rsidRPr="0072744E">
        <w:t>ymaginacioun</w:t>
      </w:r>
      <w:proofErr w:type="spellEnd"/>
      <w:r w:rsidR="00797ACD" w:rsidRPr="0072744E">
        <w:t xml:space="preserve"> </w:t>
      </w:r>
      <w:proofErr w:type="spellStart"/>
      <w:r w:rsidR="00797ACD" w:rsidRPr="0072744E">
        <w:t>comprehendith</w:t>
      </w:r>
      <w:proofErr w:type="spellEnd"/>
      <w:r w:rsidR="00797ACD" w:rsidRPr="0072744E">
        <w:t xml:space="preserve"> </w:t>
      </w:r>
      <w:proofErr w:type="spellStart"/>
      <w:r w:rsidR="00797ACD" w:rsidRPr="0072744E">
        <w:t>oonly</w:t>
      </w:r>
      <w:proofErr w:type="spellEnd"/>
      <w:r w:rsidR="00797ACD" w:rsidRPr="0072744E">
        <w:t xml:space="preserve"> the figure </w:t>
      </w:r>
      <w:proofErr w:type="spellStart"/>
      <w:r w:rsidR="00797ACD" w:rsidRPr="0072744E">
        <w:t>withoute</w:t>
      </w:r>
      <w:proofErr w:type="spellEnd"/>
      <w:r w:rsidR="00797ACD" w:rsidRPr="0072744E">
        <w:t xml:space="preserve"> th</w:t>
      </w:r>
      <w:r w:rsidR="00E96F08">
        <w:t xml:space="preserve">e </w:t>
      </w:r>
      <w:proofErr w:type="spellStart"/>
      <w:r w:rsidR="00E96F08">
        <w:t>matere</w:t>
      </w:r>
      <w:proofErr w:type="spellEnd"/>
      <w:r w:rsidR="00E96F08">
        <w:t>” of what is being seen</w:t>
      </w:r>
      <w:r w:rsidR="004A743B">
        <w:t xml:space="preserve"> (Book V, </w:t>
      </w:r>
      <w:proofErr w:type="spellStart"/>
      <w:r w:rsidR="004A743B">
        <w:t>Prosa</w:t>
      </w:r>
      <w:proofErr w:type="spellEnd"/>
      <w:r w:rsidR="004A743B">
        <w:t xml:space="preserve"> 4, 1</w:t>
      </w:r>
      <w:r w:rsidR="00797ACD" w:rsidRPr="0072744E">
        <w:t>5</w:t>
      </w:r>
      <w:r w:rsidR="004A743B">
        <w:t>7-159</w:t>
      </w:r>
      <w:r w:rsidR="00DF45B1">
        <w:t xml:space="preserve">). After the image is processed </w:t>
      </w:r>
      <w:r w:rsidR="00797ACD" w:rsidRPr="0072744E">
        <w:t>by the imagination, “[R]</w:t>
      </w:r>
      <w:proofErr w:type="spellStart"/>
      <w:r w:rsidR="00797ACD" w:rsidRPr="0072744E">
        <w:t>esoun</w:t>
      </w:r>
      <w:proofErr w:type="spellEnd"/>
      <w:r w:rsidR="00797ACD" w:rsidRPr="0072744E">
        <w:t xml:space="preserve"> </w:t>
      </w:r>
      <w:proofErr w:type="spellStart"/>
      <w:r w:rsidR="00797ACD" w:rsidRPr="0072744E">
        <w:t>surmountith</w:t>
      </w:r>
      <w:proofErr w:type="spellEnd"/>
      <w:r w:rsidR="00797ACD" w:rsidRPr="0072744E">
        <w:t xml:space="preserve"> </w:t>
      </w:r>
      <w:proofErr w:type="spellStart"/>
      <w:r w:rsidR="00797ACD" w:rsidRPr="0072744E">
        <w:t>ymaginacioun</w:t>
      </w:r>
      <w:proofErr w:type="spellEnd"/>
      <w:r w:rsidR="00797ACD" w:rsidRPr="0072744E">
        <w:t xml:space="preserve"> and </w:t>
      </w:r>
      <w:proofErr w:type="spellStart"/>
      <w:r w:rsidR="00797ACD" w:rsidRPr="0072744E">
        <w:t>comprehendith</w:t>
      </w:r>
      <w:proofErr w:type="spellEnd"/>
      <w:r w:rsidR="00797ACD" w:rsidRPr="0072744E">
        <w:t xml:space="preserve"> by </w:t>
      </w:r>
      <w:proofErr w:type="gramStart"/>
      <w:r w:rsidR="00797ACD" w:rsidRPr="0072744E">
        <w:t>an</w:t>
      </w:r>
      <w:proofErr w:type="gramEnd"/>
      <w:r w:rsidR="00797ACD" w:rsidRPr="0072744E">
        <w:t xml:space="preserve"> </w:t>
      </w:r>
      <w:proofErr w:type="spellStart"/>
      <w:r w:rsidR="00797ACD" w:rsidRPr="0072744E">
        <w:t>universel</w:t>
      </w:r>
      <w:proofErr w:type="spellEnd"/>
      <w:r w:rsidR="00797ACD" w:rsidRPr="0072744E">
        <w:t xml:space="preserve"> </w:t>
      </w:r>
      <w:proofErr w:type="spellStart"/>
      <w:r w:rsidR="00797ACD" w:rsidRPr="0072744E">
        <w:t>lokynge</w:t>
      </w:r>
      <w:proofErr w:type="spellEnd"/>
      <w:r w:rsidR="00797ACD" w:rsidRPr="0072744E">
        <w:t xml:space="preserve"> the </w:t>
      </w:r>
      <w:proofErr w:type="spellStart"/>
      <w:r w:rsidR="00797ACD" w:rsidRPr="0072744E">
        <w:t>comune</w:t>
      </w:r>
      <w:proofErr w:type="spellEnd"/>
      <w:r w:rsidR="00797ACD" w:rsidRPr="0072744E">
        <w:t xml:space="preserve"> </w:t>
      </w:r>
      <w:proofErr w:type="spellStart"/>
      <w:r w:rsidR="00797ACD" w:rsidRPr="0072744E">
        <w:t>spece</w:t>
      </w:r>
      <w:proofErr w:type="spellEnd"/>
      <w:r w:rsidR="00797ACD" w:rsidRPr="0072744E">
        <w:t xml:space="preserve"> that is in the </w:t>
      </w:r>
      <w:proofErr w:type="spellStart"/>
      <w:r w:rsidR="00797ACD" w:rsidRPr="0072744E">
        <w:t>singuler</w:t>
      </w:r>
      <w:proofErr w:type="spellEnd"/>
      <w:r w:rsidR="00797ACD" w:rsidRPr="0072744E">
        <w:t xml:space="preserve"> </w:t>
      </w:r>
      <w:proofErr w:type="spellStart"/>
      <w:r w:rsidR="00797ACD" w:rsidRPr="0072744E">
        <w:t>peces</w:t>
      </w:r>
      <w:proofErr w:type="spellEnd"/>
      <w:r w:rsidR="004A743B">
        <w:t xml:space="preserve">” (Book V, </w:t>
      </w:r>
      <w:proofErr w:type="spellStart"/>
      <w:r w:rsidR="004A743B">
        <w:t>Prosa</w:t>
      </w:r>
      <w:proofErr w:type="spellEnd"/>
      <w:r w:rsidR="004A743B">
        <w:t xml:space="preserve"> 4, 159-162</w:t>
      </w:r>
      <w:r w:rsidR="00797ACD" w:rsidRPr="0072744E">
        <w:t xml:space="preserve">). </w:t>
      </w:r>
      <w:r w:rsidR="00E96F08">
        <w:t>Only after these steps of sight, imagination, and reason can one hope to achieve the final stage of understanding:</w:t>
      </w:r>
      <w:r w:rsidR="00797ACD" w:rsidRPr="0072744E">
        <w:t xml:space="preserve"> “intelli</w:t>
      </w:r>
      <w:r w:rsidR="004A743B">
        <w:t xml:space="preserve">gence” (Book V, </w:t>
      </w:r>
      <w:proofErr w:type="spellStart"/>
      <w:r w:rsidR="004A743B">
        <w:t>Prosa</w:t>
      </w:r>
      <w:proofErr w:type="spellEnd"/>
      <w:r w:rsidR="004A743B">
        <w:t xml:space="preserve"> 4, 162</w:t>
      </w:r>
      <w:r w:rsidR="00797ACD" w:rsidRPr="0072744E">
        <w:t>).  Chaucer also makes certain to point out that the “</w:t>
      </w:r>
      <w:proofErr w:type="spellStart"/>
      <w:r w:rsidR="00E96F08">
        <w:t>heyeste</w:t>
      </w:r>
      <w:proofErr w:type="spellEnd"/>
      <w:r w:rsidR="00E96F08">
        <w:t xml:space="preserve"> </w:t>
      </w:r>
      <w:proofErr w:type="spellStart"/>
      <w:r w:rsidR="00E96F08">
        <w:t>strengthe</w:t>
      </w:r>
      <w:proofErr w:type="spellEnd"/>
      <w:r w:rsidR="00E96F08">
        <w:t xml:space="preserve">” (intelligence) </w:t>
      </w:r>
      <w:r w:rsidR="00797ACD" w:rsidRPr="0072744E">
        <w:t>requires the three stages before it (sight, imagination, and reason); however, the lower stages “</w:t>
      </w:r>
      <w:proofErr w:type="spellStart"/>
      <w:r w:rsidR="00797ACD" w:rsidRPr="0072744E">
        <w:t>ariseth</w:t>
      </w:r>
      <w:proofErr w:type="spellEnd"/>
      <w:r w:rsidR="00797ACD" w:rsidRPr="0072744E">
        <w:t xml:space="preserve"> </w:t>
      </w:r>
      <w:proofErr w:type="spellStart"/>
      <w:r w:rsidR="00797ACD" w:rsidRPr="0072744E">
        <w:t>nat</w:t>
      </w:r>
      <w:proofErr w:type="spellEnd"/>
      <w:r w:rsidR="00797ACD" w:rsidRPr="0072744E">
        <w:t xml:space="preserve"> in no </w:t>
      </w:r>
      <w:proofErr w:type="spellStart"/>
      <w:r w:rsidR="00797ACD" w:rsidRPr="0072744E">
        <w:t>manere</w:t>
      </w:r>
      <w:proofErr w:type="spellEnd"/>
      <w:r w:rsidR="00797ACD" w:rsidRPr="0072744E">
        <w:t xml:space="preserve"> to </w:t>
      </w:r>
      <w:r w:rsidR="00797ACD" w:rsidRPr="0072744E">
        <w:lastRenderedPageBreak/>
        <w:t xml:space="preserve">the </w:t>
      </w:r>
      <w:proofErr w:type="spellStart"/>
      <w:r w:rsidR="00797ACD" w:rsidRPr="0072744E">
        <w:t>heyere</w:t>
      </w:r>
      <w:proofErr w:type="spellEnd"/>
      <w:r w:rsidR="00797ACD" w:rsidRPr="0072744E">
        <w:t xml:space="preserve"> </w:t>
      </w:r>
      <w:proofErr w:type="spellStart"/>
      <w:r w:rsidR="00797ACD" w:rsidRPr="0072744E">
        <w:t>strengthe</w:t>
      </w:r>
      <w:proofErr w:type="spellEnd"/>
      <w:r w:rsidR="00797ACD" w:rsidRPr="0072744E">
        <w:t xml:space="preserve">” (Book </w:t>
      </w:r>
      <w:r w:rsidR="004A743B">
        <w:t xml:space="preserve">V, </w:t>
      </w:r>
      <w:proofErr w:type="spellStart"/>
      <w:r w:rsidR="004A743B">
        <w:t>Prosa</w:t>
      </w:r>
      <w:proofErr w:type="spellEnd"/>
      <w:r w:rsidR="004A743B">
        <w:t xml:space="preserve"> 4, 168-172</w:t>
      </w:r>
      <w:r w:rsidR="00797ACD" w:rsidRPr="0072744E">
        <w:t>). Thus, seeing can occur without reason</w:t>
      </w:r>
      <w:r w:rsidR="00E96F08">
        <w:t xml:space="preserve"> or intelligence</w:t>
      </w:r>
      <w:r w:rsidR="00797ACD" w:rsidRPr="0072744E">
        <w:t xml:space="preserve">, but </w:t>
      </w:r>
      <w:r w:rsidR="00E96F08">
        <w:t>intelligence</w:t>
      </w:r>
      <w:r w:rsidR="00797ACD" w:rsidRPr="0072744E">
        <w:t xml:space="preserve"> requires </w:t>
      </w:r>
      <w:r w:rsidR="00E96F08">
        <w:t xml:space="preserve">several </w:t>
      </w:r>
      <w:r w:rsidR="00453338">
        <w:t>preliminary stages including seeing and reasoning</w:t>
      </w:r>
      <w:r w:rsidR="00797ACD" w:rsidRPr="0072744E">
        <w:t>.</w:t>
      </w:r>
    </w:p>
    <w:p w14:paraId="657A1D74" w14:textId="4C268262" w:rsidR="00BF5C01" w:rsidRPr="0072744E" w:rsidRDefault="004B7545" w:rsidP="002B186B">
      <w:pPr>
        <w:spacing w:line="480" w:lineRule="auto"/>
      </w:pPr>
      <w:r w:rsidRPr="0072744E">
        <w:tab/>
        <w:t>Because of this connection betw</w:t>
      </w:r>
      <w:r w:rsidR="00E53D65">
        <w:t xml:space="preserve">een sight and reason, </w:t>
      </w:r>
      <w:r w:rsidRPr="0072744E">
        <w:t xml:space="preserve">it is important to consider what happens after characters in medieval literature are described as “seeing” or “casting their eyes.” </w:t>
      </w:r>
      <w:r w:rsidR="00F009EC" w:rsidRPr="0072744E">
        <w:t xml:space="preserve">Malory’s </w:t>
      </w:r>
      <w:r w:rsidR="00F009EC" w:rsidRPr="0072744E">
        <w:rPr>
          <w:i/>
        </w:rPr>
        <w:t xml:space="preserve">Morte Darthur </w:t>
      </w:r>
      <w:r w:rsidR="00F009EC" w:rsidRPr="0072744E">
        <w:t xml:space="preserve">contains many sight events, particularly in the final sections of “The </w:t>
      </w:r>
      <w:proofErr w:type="spellStart"/>
      <w:r w:rsidR="00F009EC" w:rsidRPr="0072744E">
        <w:t>Sankgreal</w:t>
      </w:r>
      <w:proofErr w:type="spellEnd"/>
      <w:r w:rsidR="00F009EC" w:rsidRPr="0072744E">
        <w:t xml:space="preserve">,” “Sir Launcelot and Queen </w:t>
      </w:r>
      <w:proofErr w:type="spellStart"/>
      <w:r w:rsidR="00F009EC" w:rsidRPr="0072744E">
        <w:t>Guenivere</w:t>
      </w:r>
      <w:proofErr w:type="spellEnd"/>
      <w:r w:rsidR="00F009EC" w:rsidRPr="0072744E">
        <w:t>” and “The Morte Arthur.”</w:t>
      </w:r>
      <w:r w:rsidR="00BF5C01" w:rsidRPr="0072744E">
        <w:t xml:space="preserve"> For example, Gawain proclaims that he will quest for the Holy Grail for a full year and will not return until he has “</w:t>
      </w:r>
      <w:proofErr w:type="spellStart"/>
      <w:r w:rsidR="00BF5C01" w:rsidRPr="0072744E">
        <w:rPr>
          <w:i/>
        </w:rPr>
        <w:t>sene</w:t>
      </w:r>
      <w:proofErr w:type="spellEnd"/>
      <w:r w:rsidR="00BF5C01" w:rsidRPr="0072744E">
        <w:t xml:space="preserve"> hit more </w:t>
      </w:r>
      <w:proofErr w:type="spellStart"/>
      <w:r w:rsidR="00BF5C01" w:rsidRPr="0072744E">
        <w:t>opynly</w:t>
      </w:r>
      <w:proofErr w:type="spellEnd"/>
      <w:r w:rsidR="00BF5C01" w:rsidRPr="0072744E">
        <w:t xml:space="preserve"> than hit hath bene </w:t>
      </w:r>
      <w:r w:rsidR="00BF5C01" w:rsidRPr="00453338">
        <w:rPr>
          <w:i/>
        </w:rPr>
        <w:t>shewed</w:t>
      </w:r>
      <w:r w:rsidR="00BF5C01" w:rsidRPr="0072744E">
        <w:t xml:space="preserve"> here” (674, emphasis mine). Following this proclamation, Arthur laments the departure of his knights, who collectively represent “the </w:t>
      </w:r>
      <w:proofErr w:type="spellStart"/>
      <w:r w:rsidR="00BF5C01" w:rsidRPr="0072744E">
        <w:t>fayryst</w:t>
      </w:r>
      <w:proofErr w:type="spellEnd"/>
      <w:r w:rsidR="00BF5C01" w:rsidRPr="0072744E">
        <w:t xml:space="preserve"> </w:t>
      </w:r>
      <w:proofErr w:type="spellStart"/>
      <w:r w:rsidR="00BF5C01" w:rsidRPr="0072744E">
        <w:t>felyshyp</w:t>
      </w:r>
      <w:proofErr w:type="spellEnd"/>
      <w:r w:rsidR="00BF5C01" w:rsidRPr="0072744E">
        <w:t xml:space="preserve"> and the </w:t>
      </w:r>
      <w:proofErr w:type="spellStart"/>
      <w:r w:rsidR="00BF5C01" w:rsidRPr="0072744E">
        <w:t>trewyst</w:t>
      </w:r>
      <w:proofErr w:type="spellEnd"/>
      <w:r w:rsidR="00BF5C01" w:rsidRPr="0072744E">
        <w:t xml:space="preserve"> of </w:t>
      </w:r>
      <w:proofErr w:type="spellStart"/>
      <w:r w:rsidR="00BF5C01" w:rsidRPr="0072744E">
        <w:t>knyghthode</w:t>
      </w:r>
      <w:proofErr w:type="spellEnd"/>
      <w:r w:rsidR="00BF5C01" w:rsidRPr="0072744E">
        <w:t xml:space="preserve"> that ever was </w:t>
      </w:r>
      <w:proofErr w:type="spellStart"/>
      <w:r w:rsidR="00BF5C01" w:rsidRPr="0072744E">
        <w:rPr>
          <w:i/>
        </w:rPr>
        <w:t>sene</w:t>
      </w:r>
      <w:proofErr w:type="spellEnd"/>
      <w:r w:rsidR="00BF5C01" w:rsidRPr="0072744E">
        <w:t xml:space="preserve"> </w:t>
      </w:r>
      <w:proofErr w:type="spellStart"/>
      <w:r w:rsidR="00BF5C01" w:rsidRPr="0072744E">
        <w:t>togydir</w:t>
      </w:r>
      <w:proofErr w:type="spellEnd"/>
      <w:r w:rsidR="00BF5C01" w:rsidRPr="0072744E">
        <w:t>” (674, emphasis mine). Lancelot is told multiple times that he will not be able to see the Grail with his “</w:t>
      </w:r>
      <w:proofErr w:type="spellStart"/>
      <w:r w:rsidR="00BF5C01" w:rsidRPr="0072744E">
        <w:t>worldely</w:t>
      </w:r>
      <w:proofErr w:type="spellEnd"/>
      <w:r w:rsidR="00BF5C01" w:rsidRPr="0072744E">
        <w:t xml:space="preserve"> yen” for God will not appear where “such </w:t>
      </w:r>
      <w:proofErr w:type="spellStart"/>
      <w:r w:rsidR="00BF5C01" w:rsidRPr="0072744E">
        <w:t>synners</w:t>
      </w:r>
      <w:proofErr w:type="spellEnd"/>
      <w:r w:rsidR="00BF5C01" w:rsidRPr="0072744E">
        <w:t xml:space="preserve"> bene” (696). When Galahad achieves the Grail, the sight of it causes hi</w:t>
      </w:r>
      <w:r w:rsidR="00BF5C01" w:rsidRPr="00C65FBE">
        <w:t xml:space="preserve">m to “tremble </w:t>
      </w:r>
      <w:proofErr w:type="spellStart"/>
      <w:r w:rsidR="00BF5C01" w:rsidRPr="00C65FBE">
        <w:t>ryght</w:t>
      </w:r>
      <w:proofErr w:type="spellEnd"/>
      <w:r w:rsidR="00BF5C01" w:rsidRPr="00C65FBE">
        <w:t xml:space="preserve"> </w:t>
      </w:r>
      <w:proofErr w:type="spellStart"/>
      <w:r w:rsidR="00BF5C01" w:rsidRPr="00C65FBE">
        <w:t>harde</w:t>
      </w:r>
      <w:proofErr w:type="spellEnd"/>
      <w:r w:rsidR="00BF5C01" w:rsidRPr="00C65FBE">
        <w:t xml:space="preserve"> </w:t>
      </w:r>
      <w:proofErr w:type="spellStart"/>
      <w:r w:rsidR="00BF5C01" w:rsidRPr="00C65FBE">
        <w:t>whan</w:t>
      </w:r>
      <w:proofErr w:type="spellEnd"/>
      <w:r w:rsidR="00BF5C01" w:rsidRPr="00C65FBE">
        <w:t xml:space="preserve"> the </w:t>
      </w:r>
      <w:proofErr w:type="spellStart"/>
      <w:r w:rsidR="00BF5C01" w:rsidRPr="00C65FBE">
        <w:t>dedly</w:t>
      </w:r>
      <w:proofErr w:type="spellEnd"/>
      <w:r w:rsidR="00BF5C01" w:rsidRPr="00C65FBE">
        <w:t xml:space="preserve"> </w:t>
      </w:r>
      <w:proofErr w:type="spellStart"/>
      <w:r w:rsidR="00BF5C01" w:rsidRPr="00C65FBE">
        <w:t>fleysh</w:t>
      </w:r>
      <w:proofErr w:type="spellEnd"/>
      <w:r w:rsidR="00BF5C01" w:rsidRPr="00C65FBE">
        <w:t xml:space="preserve"> began to </w:t>
      </w:r>
      <w:proofErr w:type="spellStart"/>
      <w:r w:rsidR="00BF5C01" w:rsidRPr="00C65FBE">
        <w:t>beholde</w:t>
      </w:r>
      <w:proofErr w:type="spellEnd"/>
      <w:r w:rsidR="00BF5C01" w:rsidRPr="00C65FBE">
        <w:t xml:space="preserve"> the </w:t>
      </w:r>
      <w:proofErr w:type="spellStart"/>
      <w:r w:rsidR="00BF5C01" w:rsidRPr="00C65FBE">
        <w:t>spirituall</w:t>
      </w:r>
      <w:proofErr w:type="spellEnd"/>
      <w:r w:rsidR="00BF5C01" w:rsidRPr="00C65FBE">
        <w:t xml:space="preserve"> </w:t>
      </w:r>
      <w:proofErr w:type="spellStart"/>
      <w:r w:rsidR="00BF5C01" w:rsidRPr="00C65FBE">
        <w:t>thynges</w:t>
      </w:r>
      <w:proofErr w:type="spellEnd"/>
      <w:r w:rsidR="00BF5C01" w:rsidRPr="00C65FBE">
        <w:t xml:space="preserve">” (787). After becoming a nun, Guinevere desires “a </w:t>
      </w:r>
      <w:proofErr w:type="spellStart"/>
      <w:r w:rsidR="00BF5C01" w:rsidRPr="00C65FBE">
        <w:rPr>
          <w:i/>
        </w:rPr>
        <w:t>syght</w:t>
      </w:r>
      <w:proofErr w:type="spellEnd"/>
      <w:r w:rsidR="00BF5C01" w:rsidRPr="00C65FBE">
        <w:t xml:space="preserve"> of the </w:t>
      </w:r>
      <w:proofErr w:type="spellStart"/>
      <w:r w:rsidR="00BF5C01" w:rsidRPr="00C65FBE">
        <w:t>blyssed</w:t>
      </w:r>
      <w:proofErr w:type="spellEnd"/>
      <w:r w:rsidR="00BF5C01" w:rsidRPr="00C65FBE">
        <w:t xml:space="preserve"> face of </w:t>
      </w:r>
      <w:proofErr w:type="spellStart"/>
      <w:r w:rsidR="00BF5C01" w:rsidRPr="00C65FBE">
        <w:t>Cryste</w:t>
      </w:r>
      <w:proofErr w:type="spellEnd"/>
      <w:r w:rsidR="00BF5C01" w:rsidRPr="00C65FBE">
        <w:t xml:space="preserve"> </w:t>
      </w:r>
      <w:proofErr w:type="spellStart"/>
      <w:r w:rsidR="00BF5C01" w:rsidRPr="00C65FBE">
        <w:t>Jesu</w:t>
      </w:r>
      <w:proofErr w:type="spellEnd"/>
      <w:r w:rsidR="00BF5C01" w:rsidRPr="00C65FBE">
        <w:t>” and</w:t>
      </w:r>
      <w:r w:rsidR="00BF5C01" w:rsidRPr="0072744E">
        <w:t xml:space="preserve"> commands Launcelot to “</w:t>
      </w:r>
      <w:r w:rsidR="00BF5C01" w:rsidRPr="0072744E">
        <w:rPr>
          <w:i/>
        </w:rPr>
        <w:t>se</w:t>
      </w:r>
      <w:r w:rsidR="00BF5C01" w:rsidRPr="0072744E">
        <w:t xml:space="preserve"> [her] no more in the </w:t>
      </w:r>
      <w:proofErr w:type="spellStart"/>
      <w:r w:rsidR="00BF5C01" w:rsidRPr="0072744E">
        <w:t>visayge</w:t>
      </w:r>
      <w:proofErr w:type="spellEnd"/>
      <w:r w:rsidR="00BF5C01" w:rsidRPr="0072744E">
        <w:t xml:space="preserve">” (932-933, emphasis mine). These are just a few of the sight events that occur in the final parts of the </w:t>
      </w:r>
      <w:r w:rsidR="00BF5C01" w:rsidRPr="0072744E">
        <w:rPr>
          <w:i/>
        </w:rPr>
        <w:t>Morte Darthur.</w:t>
      </w:r>
      <w:r w:rsidR="00BF5C01" w:rsidRPr="0072744E">
        <w:t xml:space="preserve"> </w:t>
      </w:r>
    </w:p>
    <w:p w14:paraId="3D211B6C" w14:textId="6951435B" w:rsidR="00F009EC" w:rsidRPr="0072744E" w:rsidRDefault="00BF5C01" w:rsidP="002B186B">
      <w:pPr>
        <w:spacing w:line="480" w:lineRule="auto"/>
        <w:ind w:firstLine="720"/>
      </w:pPr>
      <w:r w:rsidRPr="0072744E">
        <w:t xml:space="preserve">Clearly, the sense of sight is important to </w:t>
      </w:r>
      <w:r w:rsidR="00453338">
        <w:t>the</w:t>
      </w:r>
      <w:r w:rsidRPr="0072744E">
        <w:t xml:space="preserve"> </w:t>
      </w:r>
      <w:r w:rsidR="00453338">
        <w:rPr>
          <w:i/>
        </w:rPr>
        <w:t>Morte</w:t>
      </w:r>
      <w:r w:rsidRPr="0072744E">
        <w:t xml:space="preserve">; however, in </w:t>
      </w:r>
      <w:r w:rsidR="00E53D65">
        <w:t xml:space="preserve">Malory’s typical </w:t>
      </w:r>
      <w:r w:rsidRPr="0072744E">
        <w:t>fashion, these sight events are rarely, if ever, explained</w:t>
      </w:r>
      <w:r w:rsidR="00505E6D">
        <w:t xml:space="preserve"> in any length</w:t>
      </w:r>
      <w:r w:rsidRPr="0072744E">
        <w:t xml:space="preserve">. </w:t>
      </w:r>
      <w:r w:rsidR="00453338">
        <w:t>For example, w</w:t>
      </w:r>
      <w:r w:rsidRPr="0072744E">
        <w:t xml:space="preserve">e may learn that Galahad trembles when he sees the Grail, but we have only a vague sense that is caused by the sight of an intensely spiritual object </w:t>
      </w:r>
      <w:r w:rsidR="00453338">
        <w:t xml:space="preserve">viewed </w:t>
      </w:r>
      <w:r w:rsidRPr="0072744E">
        <w:t xml:space="preserve">with his worldly eyes. This is the full explanation that Malory provides, and while it does leave the reader with a sense of wonder and marvel, inquisitive readers may wonder </w:t>
      </w:r>
      <w:r w:rsidRPr="0072744E">
        <w:rPr>
          <w:i/>
        </w:rPr>
        <w:t>why</w:t>
      </w:r>
      <w:r w:rsidRPr="0072744E">
        <w:t xml:space="preserve"> Galahad has this reaction or perhaps what he thinks about </w:t>
      </w:r>
      <w:r w:rsidRPr="0072744E">
        <w:lastRenderedPageBreak/>
        <w:t>the experience after the fact. In the same way, Malory does not expound upon the consequences of Launcelot</w:t>
      </w:r>
      <w:r w:rsidR="00E53D65">
        <w:t>’s</w:t>
      </w:r>
      <w:r w:rsidRPr="0072744E">
        <w:t xml:space="preserve"> seeing Guinevere again after she becomes a nun. In order to discover the root of all these references to sight in the </w:t>
      </w:r>
      <w:r w:rsidRPr="0072744E">
        <w:rPr>
          <w:i/>
        </w:rPr>
        <w:t xml:space="preserve">Morte Darthur, </w:t>
      </w:r>
      <w:r w:rsidRPr="0072744E">
        <w:t xml:space="preserve">I will suggest that we turn to Chaucer’s </w:t>
      </w:r>
      <w:r w:rsidRPr="0072744E">
        <w:rPr>
          <w:i/>
        </w:rPr>
        <w:t>Troilus and Criseyde.</w:t>
      </w:r>
    </w:p>
    <w:p w14:paraId="0C46C52E" w14:textId="1C025138" w:rsidR="00BF5C01" w:rsidRPr="0072744E" w:rsidRDefault="005E2F7B" w:rsidP="002B186B">
      <w:pPr>
        <w:spacing w:line="480" w:lineRule="auto"/>
      </w:pPr>
      <w:r>
        <w:tab/>
        <w:t>Chaucer, whose texts appear a century before Malory, was also intrigued by</w:t>
      </w:r>
      <w:r w:rsidR="00BF5C01" w:rsidRPr="0072744E">
        <w:t xml:space="preserve"> the sense of sight.</w:t>
      </w:r>
      <w:r w:rsidR="00C162BF">
        <w:t xml:space="preserve"> </w:t>
      </w:r>
      <w:r w:rsidR="00BF5C01" w:rsidRPr="0072744E">
        <w:t>For example, when Troilus first encounters Criseyde, there are several references to sight. Troilus ambles through the temple, “</w:t>
      </w:r>
      <w:proofErr w:type="spellStart"/>
      <w:r w:rsidR="00BF5C01" w:rsidRPr="0072744E">
        <w:t>lokynge</w:t>
      </w:r>
      <w:proofErr w:type="spellEnd"/>
      <w:r w:rsidR="00BF5C01" w:rsidRPr="0072744E">
        <w:t xml:space="preserve">” on various ladies, until “His eye </w:t>
      </w:r>
      <w:proofErr w:type="spellStart"/>
      <w:r w:rsidR="00BF5C01" w:rsidRPr="0072744E">
        <w:t>percede</w:t>
      </w:r>
      <w:proofErr w:type="spellEnd"/>
      <w:r w:rsidR="00BF5C01" w:rsidRPr="0072744E">
        <w:t xml:space="preserve">, and so </w:t>
      </w:r>
      <w:proofErr w:type="spellStart"/>
      <w:r w:rsidR="00BF5C01" w:rsidRPr="0072744E">
        <w:t>depe</w:t>
      </w:r>
      <w:proofErr w:type="spellEnd"/>
      <w:r w:rsidR="00BF5C01" w:rsidRPr="0072744E">
        <w:t xml:space="preserve"> it </w:t>
      </w:r>
      <w:proofErr w:type="spellStart"/>
      <w:r w:rsidR="00BF5C01" w:rsidRPr="0072744E">
        <w:t>wente</w:t>
      </w:r>
      <w:proofErr w:type="spellEnd"/>
      <w:r w:rsidR="00BF5C01" w:rsidRPr="0072744E">
        <w:t xml:space="preserve">, / </w:t>
      </w:r>
      <w:proofErr w:type="spellStart"/>
      <w:r w:rsidR="00BF5C01" w:rsidRPr="0072744E">
        <w:t>Til</w:t>
      </w:r>
      <w:proofErr w:type="spellEnd"/>
      <w:r w:rsidR="00BF5C01" w:rsidRPr="0072744E">
        <w:t xml:space="preserve"> on Criseyde it </w:t>
      </w:r>
      <w:proofErr w:type="spellStart"/>
      <w:r w:rsidR="00BF5C01" w:rsidRPr="0072744E">
        <w:t>smot</w:t>
      </w:r>
      <w:proofErr w:type="spellEnd"/>
      <w:r w:rsidR="00BF5C01" w:rsidRPr="0072744E">
        <w:t xml:space="preserve">, and </w:t>
      </w:r>
      <w:proofErr w:type="spellStart"/>
      <w:r w:rsidR="00BF5C01" w:rsidRPr="0072744E">
        <w:t>ther</w:t>
      </w:r>
      <w:proofErr w:type="spellEnd"/>
      <w:r w:rsidR="00BF5C01" w:rsidRPr="0072744E">
        <w:t xml:space="preserve"> it </w:t>
      </w:r>
      <w:proofErr w:type="spellStart"/>
      <w:r w:rsidR="00BF5C01" w:rsidRPr="0072744E">
        <w:t>stente</w:t>
      </w:r>
      <w:proofErr w:type="spellEnd"/>
      <w:r w:rsidR="00BF5C01" w:rsidRPr="0072744E">
        <w:t>” (Book I, 269, 272-73). Criseyde, too, has “</w:t>
      </w:r>
      <w:proofErr w:type="spellStart"/>
      <w:r w:rsidR="00BF5C01" w:rsidRPr="0072744E">
        <w:t>subtile</w:t>
      </w:r>
      <w:proofErr w:type="spellEnd"/>
      <w:r w:rsidR="00BF5C01" w:rsidRPr="0072744E">
        <w:t xml:space="preserve"> </w:t>
      </w:r>
      <w:proofErr w:type="spellStart"/>
      <w:r w:rsidR="00BF5C01" w:rsidRPr="0072744E">
        <w:t>stremes</w:t>
      </w:r>
      <w:proofErr w:type="spellEnd"/>
      <w:r w:rsidR="00BF5C01" w:rsidRPr="0072744E">
        <w:t xml:space="preserve"> of hire yen” (Book I, 305), and when she directs her vision toward Troilus, the result is that Troilus “</w:t>
      </w:r>
      <w:proofErr w:type="spellStart"/>
      <w:r w:rsidR="00BF5C01" w:rsidRPr="0072744E">
        <w:t>sodeynly</w:t>
      </w:r>
      <w:proofErr w:type="spellEnd"/>
      <w:r w:rsidR="00BF5C01" w:rsidRPr="0072744E">
        <w:t xml:space="preserve"> . . . </w:t>
      </w:r>
      <w:proofErr w:type="spellStart"/>
      <w:r w:rsidR="00BF5C01" w:rsidRPr="0072744E">
        <w:t>thoughte</w:t>
      </w:r>
      <w:proofErr w:type="spellEnd"/>
      <w:r w:rsidR="00BF5C01" w:rsidRPr="0072744E">
        <w:t xml:space="preserve"> he </w:t>
      </w:r>
      <w:proofErr w:type="spellStart"/>
      <w:r w:rsidR="00BF5C01" w:rsidRPr="0072744E">
        <w:t>felte</w:t>
      </w:r>
      <w:proofErr w:type="spellEnd"/>
      <w:r w:rsidR="00BF5C01" w:rsidRPr="0072744E">
        <w:t xml:space="preserve"> </w:t>
      </w:r>
      <w:proofErr w:type="spellStart"/>
      <w:r w:rsidR="00BF5C01" w:rsidRPr="0072744E">
        <w:t>dyen</w:t>
      </w:r>
      <w:proofErr w:type="spellEnd"/>
      <w:r w:rsidR="00BF5C01" w:rsidRPr="0072744E">
        <w:t xml:space="preserve">, / Right with hire look, the spirit in his </w:t>
      </w:r>
      <w:proofErr w:type="spellStart"/>
      <w:r w:rsidR="00BF5C01" w:rsidRPr="0072744E">
        <w:t>herte</w:t>
      </w:r>
      <w:proofErr w:type="spellEnd"/>
      <w:r w:rsidR="00BF5C01" w:rsidRPr="0072744E">
        <w:t xml:space="preserve">” (Book I, 306-307). Again at the beginning of Book III, when Troilus finally speaks to Criseyde for the first time, his one request is that “with the </w:t>
      </w:r>
      <w:proofErr w:type="spellStart"/>
      <w:r w:rsidR="00BF5C01" w:rsidRPr="0072744E">
        <w:t>stremes</w:t>
      </w:r>
      <w:proofErr w:type="spellEnd"/>
      <w:r w:rsidR="00BF5C01" w:rsidRPr="0072744E">
        <w:t xml:space="preserve"> of </w:t>
      </w:r>
      <w:proofErr w:type="spellStart"/>
      <w:r w:rsidR="00BF5C01" w:rsidRPr="0072744E">
        <w:t>youre</w:t>
      </w:r>
      <w:proofErr w:type="spellEnd"/>
      <w:r w:rsidR="00BF5C01" w:rsidRPr="0072744E">
        <w:t xml:space="preserve"> eyen </w:t>
      </w:r>
      <w:proofErr w:type="spellStart"/>
      <w:r w:rsidR="00BF5C01" w:rsidRPr="0072744E">
        <w:t>cleere</w:t>
      </w:r>
      <w:proofErr w:type="spellEnd"/>
      <w:r w:rsidR="00BF5C01" w:rsidRPr="0072744E">
        <w:t xml:space="preserve"> / </w:t>
      </w:r>
      <w:proofErr w:type="gramStart"/>
      <w:r w:rsidR="00BF5C01" w:rsidRPr="0072744E">
        <w:t>Ye</w:t>
      </w:r>
      <w:proofErr w:type="gramEnd"/>
      <w:r w:rsidR="00BF5C01" w:rsidRPr="0072744E">
        <w:t xml:space="preserve"> </w:t>
      </w:r>
      <w:proofErr w:type="spellStart"/>
      <w:r w:rsidR="00BF5C01" w:rsidRPr="0072744E">
        <w:t>wolde</w:t>
      </w:r>
      <w:proofErr w:type="spellEnd"/>
      <w:r w:rsidR="00BF5C01" w:rsidRPr="0072744E">
        <w:t xml:space="preserve"> </w:t>
      </w:r>
      <w:proofErr w:type="spellStart"/>
      <w:r w:rsidR="00BF5C01" w:rsidRPr="0072744E">
        <w:t>somtyme</w:t>
      </w:r>
      <w:proofErr w:type="spellEnd"/>
      <w:r w:rsidR="00BF5C01" w:rsidRPr="0072744E">
        <w:t xml:space="preserve"> </w:t>
      </w:r>
      <w:proofErr w:type="spellStart"/>
      <w:r w:rsidR="00BF5C01" w:rsidRPr="0072744E">
        <w:t>frendly</w:t>
      </w:r>
      <w:proofErr w:type="spellEnd"/>
      <w:r w:rsidR="00BF5C01" w:rsidRPr="0072744E">
        <w:t xml:space="preserve"> on me see” (129-130). Furthermore, in at least fifteen separate scenarios, characters are described as actively “casting” (</w:t>
      </w:r>
      <w:r w:rsidR="00BF5C01" w:rsidRPr="0072744E">
        <w:rPr>
          <w:i/>
        </w:rPr>
        <w:t>cast</w:t>
      </w:r>
      <w:r w:rsidR="00BF5C01" w:rsidRPr="0072744E">
        <w:t xml:space="preserve"> or </w:t>
      </w:r>
      <w:r w:rsidR="00BF5C01" w:rsidRPr="0072744E">
        <w:rPr>
          <w:i/>
        </w:rPr>
        <w:t>caste</w:t>
      </w:r>
      <w:r w:rsidR="00BF5C01" w:rsidRPr="0072744E">
        <w:t>) their “</w:t>
      </w:r>
      <w:proofErr w:type="spellStart"/>
      <w:r w:rsidR="00BF5C01" w:rsidRPr="0072744E">
        <w:t>eighen</w:t>
      </w:r>
      <w:proofErr w:type="spellEnd"/>
      <w:r w:rsidR="00BF5C01" w:rsidRPr="0072744E">
        <w:t xml:space="preserve">” or similarly “casting [their] </w:t>
      </w:r>
      <w:proofErr w:type="spellStart"/>
      <w:r w:rsidR="00BF5C01" w:rsidRPr="0072744E">
        <w:t>lokynge</w:t>
      </w:r>
      <w:proofErr w:type="spellEnd"/>
      <w:r w:rsidR="00BF5C01" w:rsidRPr="0072744E">
        <w:t xml:space="preserve">” in the direction of another character. Elizabeth Dobbs has pointed out that so many occasions of sight are a departure from Chaucer’s source: “Eyes and seeing remain before us in a way that they do not in </w:t>
      </w:r>
      <w:r w:rsidR="00BF5C01" w:rsidRPr="0072744E">
        <w:rPr>
          <w:i/>
        </w:rPr>
        <w:t xml:space="preserve">Il </w:t>
      </w:r>
      <w:proofErr w:type="spellStart"/>
      <w:r w:rsidR="00BF5C01" w:rsidRPr="0072744E">
        <w:rPr>
          <w:i/>
        </w:rPr>
        <w:t>Filostrato</w:t>
      </w:r>
      <w:proofErr w:type="spellEnd"/>
      <w:proofErr w:type="gramStart"/>
      <w:r w:rsidR="00BF5C01" w:rsidRPr="0072744E">
        <w:t>”(</w:t>
      </w:r>
      <w:proofErr w:type="gramEnd"/>
      <w:r w:rsidR="00BF5C01" w:rsidRPr="0072744E">
        <w:t>408).</w:t>
      </w:r>
      <w:r w:rsidR="00453338">
        <w:t xml:space="preserve"> Chaucer’s emphasis on the sense of sight leads me to believe that all these sight events must have a </w:t>
      </w:r>
      <w:r>
        <w:t>more significant, though perhaps less obvious,</w:t>
      </w:r>
      <w:r w:rsidR="00453338">
        <w:t xml:space="preserve"> meaning.</w:t>
      </w:r>
      <w:r w:rsidR="00C162BF">
        <w:t xml:space="preserve"> </w:t>
      </w:r>
    </w:p>
    <w:p w14:paraId="12073CD2" w14:textId="16CC30CC" w:rsidR="00BF5C01" w:rsidRPr="0072744E" w:rsidRDefault="00BF5C01" w:rsidP="002B186B">
      <w:pPr>
        <w:spacing w:line="480" w:lineRule="auto"/>
      </w:pPr>
      <w:r w:rsidRPr="0072744E">
        <w:tab/>
        <w:t xml:space="preserve">In addition to an interest in the sense of sight, the </w:t>
      </w:r>
      <w:r w:rsidRPr="0072744E">
        <w:rPr>
          <w:i/>
        </w:rPr>
        <w:t xml:space="preserve">Morte Darthur </w:t>
      </w:r>
      <w:r w:rsidRPr="0072744E">
        <w:t xml:space="preserve">and </w:t>
      </w:r>
      <w:r w:rsidRPr="0072744E">
        <w:rPr>
          <w:i/>
        </w:rPr>
        <w:t xml:space="preserve">Troilus and Criseyde </w:t>
      </w:r>
      <w:r w:rsidRPr="0072744E">
        <w:t xml:space="preserve">share an interest in reason. </w:t>
      </w:r>
      <w:r w:rsidR="00FD354B" w:rsidRPr="0072744E">
        <w:t xml:space="preserve">We have already seen from Chaucer’s </w:t>
      </w:r>
      <w:r w:rsidR="00FD354B" w:rsidRPr="0072744E">
        <w:rPr>
          <w:i/>
        </w:rPr>
        <w:t xml:space="preserve">Boece </w:t>
      </w:r>
      <w:r w:rsidR="00FD354B" w:rsidRPr="0072744E">
        <w:t>that reason is a step toward intelligence that necessarily involves taking in</w:t>
      </w:r>
      <w:r w:rsidR="00453338">
        <w:t xml:space="preserve"> visual sensory information</w:t>
      </w:r>
      <w:r w:rsidR="00FD354B" w:rsidRPr="0072744E">
        <w:t xml:space="preserve">. </w:t>
      </w:r>
      <w:r w:rsidRPr="0072744E">
        <w:t>For Malory, th</w:t>
      </w:r>
      <w:r w:rsidR="00FD354B" w:rsidRPr="0072744E">
        <w:t>e</w:t>
      </w:r>
      <w:r w:rsidRPr="0072744E">
        <w:t xml:space="preserve"> interest</w:t>
      </w:r>
      <w:r w:rsidR="00FD354B" w:rsidRPr="0072744E">
        <w:t xml:space="preserve"> in reason</w:t>
      </w:r>
      <w:r w:rsidRPr="0072744E">
        <w:t xml:space="preserve"> appears in the </w:t>
      </w:r>
      <w:r w:rsidR="00C65FBE">
        <w:t>“</w:t>
      </w:r>
      <w:r w:rsidRPr="0072744E">
        <w:t xml:space="preserve">Quest of the </w:t>
      </w:r>
      <w:proofErr w:type="spellStart"/>
      <w:r w:rsidRPr="0072744E">
        <w:t>Sankgreal</w:t>
      </w:r>
      <w:proofErr w:type="spellEnd"/>
      <w:r w:rsidR="00C65FBE">
        <w:t>” section</w:t>
      </w:r>
      <w:r w:rsidRPr="0072744E">
        <w:t xml:space="preserve">, when Launcelot </w:t>
      </w:r>
      <w:r w:rsidRPr="0072744E">
        <w:lastRenderedPageBreak/>
        <w:t xml:space="preserve">consults a hermit to learn the significance of a mysterious voice that says he is harder than a stone, more </w:t>
      </w:r>
      <w:proofErr w:type="gramStart"/>
      <w:r w:rsidRPr="0072744E">
        <w:t>bitter</w:t>
      </w:r>
      <w:proofErr w:type="gramEnd"/>
      <w:r w:rsidRPr="0072744E">
        <w:t xml:space="preserve"> than wood, and more naked than a fig tree (694). After hearing Launcelot’s full confession, the hermit chastises Launcelot for his past behavior concerning “that </w:t>
      </w:r>
      <w:proofErr w:type="spellStart"/>
      <w:r w:rsidRPr="0072744E">
        <w:t>quene</w:t>
      </w:r>
      <w:proofErr w:type="spellEnd"/>
      <w:r w:rsidRPr="0072744E">
        <w:t>” (696). The hermit continues and tells Launcelot that “[</w:t>
      </w:r>
      <w:proofErr w:type="spellStart"/>
      <w:r w:rsidRPr="0072744E">
        <w:t>Oure</w:t>
      </w:r>
      <w:proofErr w:type="spellEnd"/>
      <w:r w:rsidRPr="0072744E">
        <w:t xml:space="preserve"> Lorde] hath </w:t>
      </w:r>
      <w:proofErr w:type="spellStart"/>
      <w:r w:rsidRPr="0072744E">
        <w:t>yevyn</w:t>
      </w:r>
      <w:proofErr w:type="spellEnd"/>
      <w:r w:rsidRPr="0072744E">
        <w:t xml:space="preserve"> the </w:t>
      </w:r>
      <w:proofErr w:type="spellStart"/>
      <w:r w:rsidRPr="0072744E">
        <w:t>wytte</w:t>
      </w:r>
      <w:proofErr w:type="spellEnd"/>
      <w:r w:rsidRPr="0072744E">
        <w:t xml:space="preserve"> and </w:t>
      </w:r>
      <w:proofErr w:type="spellStart"/>
      <w:r w:rsidRPr="0072744E">
        <w:t>discression</w:t>
      </w:r>
      <w:proofErr w:type="spellEnd"/>
      <w:r w:rsidRPr="0072744E">
        <w:t xml:space="preserve"> to know good </w:t>
      </w:r>
      <w:proofErr w:type="spellStart"/>
      <w:r w:rsidRPr="0072744E">
        <w:t>frome</w:t>
      </w:r>
      <w:proofErr w:type="spellEnd"/>
      <w:r w:rsidRPr="0072744E">
        <w:t xml:space="preserve"> ill” (697). </w:t>
      </w:r>
      <w:r w:rsidR="00FD354B" w:rsidRPr="0072744E">
        <w:t>Because Launcelot has neglected to use his “</w:t>
      </w:r>
      <w:proofErr w:type="spellStart"/>
      <w:r w:rsidR="00FD354B" w:rsidRPr="0072744E">
        <w:t>wytte</w:t>
      </w:r>
      <w:proofErr w:type="spellEnd"/>
      <w:r w:rsidR="00FD354B" w:rsidRPr="0072744E">
        <w:t xml:space="preserve"> and </w:t>
      </w:r>
      <w:proofErr w:type="spellStart"/>
      <w:r w:rsidR="00FD354B" w:rsidRPr="0072744E">
        <w:t>discression</w:t>
      </w:r>
      <w:proofErr w:type="spellEnd"/>
      <w:r w:rsidR="00FD354B" w:rsidRPr="0072744E">
        <w:t xml:space="preserve">”—literally his senses and his reason—he is unable </w:t>
      </w:r>
      <w:r w:rsidRPr="0072744E">
        <w:t xml:space="preserve">to see the Grail “with [his] </w:t>
      </w:r>
      <w:proofErr w:type="spellStart"/>
      <w:r w:rsidRPr="0072744E">
        <w:t>worldely</w:t>
      </w:r>
      <w:proofErr w:type="spellEnd"/>
      <w:r w:rsidRPr="0072744E">
        <w:t xml:space="preserve"> yen” when it appear</w:t>
      </w:r>
      <w:r w:rsidR="005E2F7B">
        <w:t>s</w:t>
      </w:r>
      <w:r w:rsidRPr="0072744E">
        <w:t xml:space="preserve"> before </w:t>
      </w:r>
      <w:r w:rsidR="00FD354B" w:rsidRPr="0072744E">
        <w:t>him</w:t>
      </w:r>
      <w:r w:rsidRPr="0072744E">
        <w:t xml:space="preserve"> in the same encounter with the mysterious voice. For Malory</w:t>
      </w:r>
      <w:r w:rsidR="00FD354B" w:rsidRPr="0072744E">
        <w:t>, as for Chaucer</w:t>
      </w:r>
      <w:r w:rsidRPr="0072744E">
        <w:t>, seeing is linked to reason</w:t>
      </w:r>
      <w:r w:rsidR="00453338">
        <w:t xml:space="preserve"> and intelligence</w:t>
      </w:r>
      <w:r w:rsidRPr="0072744E">
        <w:t>, which, according to the hermit, should govern Launcelot’s behavior.</w:t>
      </w:r>
    </w:p>
    <w:p w14:paraId="2ED38287" w14:textId="77777777" w:rsidR="00856B35" w:rsidRPr="0072744E" w:rsidRDefault="00856B35" w:rsidP="002B186B">
      <w:pPr>
        <w:spacing w:line="480" w:lineRule="auto"/>
      </w:pPr>
    </w:p>
    <w:p w14:paraId="349785EF" w14:textId="2C896C40" w:rsidR="00FC7C7E" w:rsidRPr="0072744E" w:rsidRDefault="005E2F7B" w:rsidP="002B186B">
      <w:pPr>
        <w:spacing w:line="480" w:lineRule="auto"/>
      </w:pPr>
      <w:r>
        <w:rPr>
          <w:b/>
        </w:rPr>
        <w:t>Why These</w:t>
      </w:r>
      <w:r w:rsidR="006F3141" w:rsidRPr="0072744E">
        <w:rPr>
          <w:b/>
        </w:rPr>
        <w:t xml:space="preserve"> Primary Texts</w:t>
      </w:r>
      <w:r>
        <w:rPr>
          <w:b/>
        </w:rPr>
        <w:t>?</w:t>
      </w:r>
    </w:p>
    <w:p w14:paraId="6E7722C0" w14:textId="7FB98CF4" w:rsidR="004374FE" w:rsidRPr="0072744E" w:rsidRDefault="00453338" w:rsidP="002B186B">
      <w:pPr>
        <w:spacing w:line="480" w:lineRule="auto"/>
        <w:ind w:firstLine="720"/>
      </w:pPr>
      <w:r>
        <w:t>Some skeptics</w:t>
      </w:r>
      <w:r w:rsidR="002D3C9D" w:rsidRPr="0072744E">
        <w:t xml:space="preserve"> m</w:t>
      </w:r>
      <w:r w:rsidR="005E2F7B">
        <w:t>ight</w:t>
      </w:r>
      <w:r w:rsidR="002D3C9D" w:rsidRPr="0072744E">
        <w:t xml:space="preserve"> be critical of my decision to examine the</w:t>
      </w:r>
      <w:r w:rsidR="005471A7" w:rsidRPr="0072744E">
        <w:t>se</w:t>
      </w:r>
      <w:r w:rsidR="002D3C9D" w:rsidRPr="0072744E">
        <w:t xml:space="preserve"> two</w:t>
      </w:r>
      <w:r w:rsidR="005471A7" w:rsidRPr="0072744E">
        <w:t xml:space="preserve"> texts</w:t>
      </w:r>
      <w:r w:rsidR="002D3C9D" w:rsidRPr="0072744E">
        <w:t xml:space="preserve"> in the same project. After all, </w:t>
      </w:r>
      <w:r>
        <w:t>the two texts were written</w:t>
      </w:r>
      <w:r w:rsidR="002D3C9D" w:rsidRPr="0072744E">
        <w:t xml:space="preserve"> a century apart by writers in very different political, social, and legal situations. One is in verse, the other in prose. They both contain themes of chivalry and courtly love, but explore these themes with very different characters in very </w:t>
      </w:r>
      <w:bookmarkStart w:id="0" w:name="_GoBack"/>
      <w:bookmarkEnd w:id="0"/>
      <w:r w:rsidR="002D3C9D" w:rsidRPr="0072744E">
        <w:t xml:space="preserve">different settings. However, as I have already </w:t>
      </w:r>
      <w:r w:rsidR="005E2F7B">
        <w:t>shown</w:t>
      </w:r>
      <w:r w:rsidR="002D3C9D" w:rsidRPr="0072744E">
        <w:t xml:space="preserve">, </w:t>
      </w:r>
      <w:r w:rsidR="002D3C9D" w:rsidRPr="0072744E">
        <w:rPr>
          <w:i/>
        </w:rPr>
        <w:t xml:space="preserve">Troilus and Criseyde </w:t>
      </w:r>
      <w:r w:rsidR="002D3C9D" w:rsidRPr="0072744E">
        <w:t xml:space="preserve">and the </w:t>
      </w:r>
      <w:r w:rsidR="002D3C9D" w:rsidRPr="0072744E">
        <w:rPr>
          <w:i/>
        </w:rPr>
        <w:t xml:space="preserve">Morte Darthur </w:t>
      </w:r>
      <w:r w:rsidR="002D3C9D" w:rsidRPr="0072744E">
        <w:t>do share a genre of tragedy, and they</w:t>
      </w:r>
      <w:r w:rsidR="00FD354B" w:rsidRPr="0072744E">
        <w:t xml:space="preserve"> also</w:t>
      </w:r>
      <w:r w:rsidR="002D3C9D" w:rsidRPr="0072744E">
        <w:t xml:space="preserve"> share an interest in both seeing and reasoning. </w:t>
      </w:r>
      <w:r w:rsidR="00FD354B" w:rsidRPr="0072744E">
        <w:t>Furthermore, t</w:t>
      </w:r>
      <w:r w:rsidR="002D3C9D" w:rsidRPr="0072744E">
        <w:t>he</w:t>
      </w:r>
      <w:r w:rsidR="00FD354B" w:rsidRPr="0072744E">
        <w:t>ir</w:t>
      </w:r>
      <w:r w:rsidR="002D3C9D" w:rsidRPr="0072744E">
        <w:t xml:space="preserve"> interest in vision and reason is generated from the same scholarly debate on the way that vision works. This debate prompted many in the Middle Ages to reevaluate the way that they interact</w:t>
      </w:r>
      <w:r w:rsidR="005E2F7B">
        <w:t>ed</w:t>
      </w:r>
      <w:r w:rsidR="002D3C9D" w:rsidRPr="0072744E">
        <w:t xml:space="preserve"> with the world, and we can see the effects of the debate in literary works from the period.</w:t>
      </w:r>
    </w:p>
    <w:p w14:paraId="386BFC37" w14:textId="5B9ED2A8" w:rsidR="005471A7" w:rsidRPr="0072744E" w:rsidRDefault="002D3C9D" w:rsidP="002B186B">
      <w:pPr>
        <w:spacing w:line="480" w:lineRule="auto"/>
      </w:pPr>
      <w:r w:rsidRPr="0072744E">
        <w:tab/>
        <w:t>In addition to illuminating this scholarly debat</w:t>
      </w:r>
      <w:r w:rsidR="00453338">
        <w:t>e over the ways that vision operate</w:t>
      </w:r>
      <w:r w:rsidRPr="0072744E">
        <w:t xml:space="preserve">s, </w:t>
      </w:r>
      <w:r w:rsidR="00453338">
        <w:rPr>
          <w:i/>
        </w:rPr>
        <w:t xml:space="preserve">Troilus and Criseyde </w:t>
      </w:r>
      <w:r w:rsidR="00453338" w:rsidRPr="00453338">
        <w:t>and the</w:t>
      </w:r>
      <w:r w:rsidR="00453338">
        <w:rPr>
          <w:i/>
        </w:rPr>
        <w:t xml:space="preserve"> Morte Darthur</w:t>
      </w:r>
      <w:r w:rsidR="009C1CEF" w:rsidRPr="0072744E">
        <w:t xml:space="preserve"> are both long enough to show sustained </w:t>
      </w:r>
      <w:r w:rsidR="009C1CEF" w:rsidRPr="0072744E">
        <w:lastRenderedPageBreak/>
        <w:t xml:space="preserve">development of a pattern involving sight and reason as a cause for the reversal of fortune. We </w:t>
      </w:r>
      <w:r w:rsidR="00FD354B" w:rsidRPr="0072744E">
        <w:t xml:space="preserve">may </w:t>
      </w:r>
      <w:r w:rsidR="009C1CEF" w:rsidRPr="0072744E">
        <w:t>see similar treat</w:t>
      </w:r>
      <w:r w:rsidR="00453338">
        <w:t>ments of vision in shorter stories</w:t>
      </w:r>
      <w:r w:rsidR="009C1CEF" w:rsidRPr="0072744E">
        <w:t xml:space="preserve">, but the </w:t>
      </w:r>
      <w:r w:rsidR="00453338">
        <w:t>data set of sight events</w:t>
      </w:r>
      <w:r w:rsidR="009C1CEF" w:rsidRPr="0072744E">
        <w:t xml:space="preserve"> for these texts is too s</w:t>
      </w:r>
      <w:r w:rsidR="00453338">
        <w:t>mall</w:t>
      </w:r>
      <w:r w:rsidR="009C1CEF" w:rsidRPr="0072744E">
        <w:t xml:space="preserve"> to deduce any meaningful patter</w:t>
      </w:r>
      <w:r w:rsidR="00453338">
        <w:t>n</w:t>
      </w:r>
      <w:r w:rsidR="009C1CEF" w:rsidRPr="0072744E">
        <w:t xml:space="preserve">s. However, both </w:t>
      </w:r>
      <w:r w:rsidR="009C1CEF" w:rsidRPr="0072744E">
        <w:rPr>
          <w:i/>
        </w:rPr>
        <w:t xml:space="preserve">Troilus and Criseyde </w:t>
      </w:r>
      <w:r w:rsidR="009C1CEF" w:rsidRPr="0072744E">
        <w:t xml:space="preserve">and the </w:t>
      </w:r>
      <w:r w:rsidR="009C1CEF" w:rsidRPr="0072744E">
        <w:rPr>
          <w:i/>
        </w:rPr>
        <w:t xml:space="preserve">Morte Darthur </w:t>
      </w:r>
      <w:r w:rsidR="009C1CEF" w:rsidRPr="0072744E">
        <w:t>are long enough to contain myriad sight events that can be col</w:t>
      </w:r>
      <w:r w:rsidR="00453338">
        <w:t>lected and analyzed</w:t>
      </w:r>
      <w:r w:rsidR="009C1CEF" w:rsidRPr="0072744E">
        <w:t xml:space="preserve">. As I </w:t>
      </w:r>
      <w:r w:rsidR="00FD354B" w:rsidRPr="0072744E">
        <w:t xml:space="preserve">already </w:t>
      </w:r>
      <w:r w:rsidR="009C1CEF" w:rsidRPr="0072744E">
        <w:t>noted, Malory’s succinct style often precludes de</w:t>
      </w:r>
      <w:r w:rsidR="005E2F7B">
        <w:t>tailed</w:t>
      </w:r>
      <w:r w:rsidR="009C1CEF" w:rsidRPr="0072744E">
        <w:t xml:space="preserve"> explanations for the sight events in the </w:t>
      </w:r>
      <w:r w:rsidR="009C1CEF" w:rsidRPr="0072744E">
        <w:rPr>
          <w:i/>
        </w:rPr>
        <w:t>Morte Darthur</w:t>
      </w:r>
      <w:r w:rsidR="009C1CEF" w:rsidRPr="0072744E">
        <w:t xml:space="preserve">; however, Chaucer helps us understand in two ways. First, he provides explanations for how sight works and </w:t>
      </w:r>
      <w:r w:rsidR="005E2F7B">
        <w:t xml:space="preserve">for </w:t>
      </w:r>
      <w:r w:rsidR="009C1CEF" w:rsidRPr="0072744E">
        <w:t xml:space="preserve">the reasoning processes that his characters </w:t>
      </w:r>
      <w:r w:rsidR="005E2F7B">
        <w:t>employ</w:t>
      </w:r>
      <w:r w:rsidR="009C1CEF" w:rsidRPr="0072744E">
        <w:t xml:space="preserve"> in </w:t>
      </w:r>
      <w:r w:rsidR="009C1CEF" w:rsidRPr="0072744E">
        <w:rPr>
          <w:i/>
        </w:rPr>
        <w:t>Troilus and Criseyde</w:t>
      </w:r>
      <w:r w:rsidR="009C1CEF" w:rsidRPr="0072744E">
        <w:t xml:space="preserve">. Second, as </w:t>
      </w:r>
      <w:r w:rsidR="008727E5">
        <w:t>most scholar</w:t>
      </w:r>
      <w:r w:rsidR="00C65FBE">
        <w:t>s acknowledge</w:t>
      </w:r>
      <w:r w:rsidR="009C1CEF" w:rsidRPr="0072744E">
        <w:t xml:space="preserve">, </w:t>
      </w:r>
      <w:r w:rsidR="009C1CEF" w:rsidRPr="0072744E">
        <w:rPr>
          <w:i/>
        </w:rPr>
        <w:t xml:space="preserve">Troilus and Criseyde </w:t>
      </w:r>
      <w:r w:rsidR="009C1CEF" w:rsidRPr="0072744E">
        <w:t xml:space="preserve">is a work that explores </w:t>
      </w:r>
      <w:proofErr w:type="spellStart"/>
      <w:r w:rsidR="009C1CEF" w:rsidRPr="0072744E">
        <w:t>Boethian</w:t>
      </w:r>
      <w:proofErr w:type="spellEnd"/>
      <w:r w:rsidR="009C1CEF" w:rsidRPr="0072744E">
        <w:t xml:space="preserve"> ideas that Chaucer derived from translating </w:t>
      </w:r>
      <w:r w:rsidR="009C1CEF" w:rsidRPr="0072744E">
        <w:rPr>
          <w:i/>
        </w:rPr>
        <w:t>Boece</w:t>
      </w:r>
      <w:r w:rsidR="00C65FBE">
        <w:rPr>
          <w:i/>
        </w:rPr>
        <w:t>.</w:t>
      </w:r>
      <w:r w:rsidR="009C1CEF" w:rsidRPr="00453338">
        <w:t xml:space="preserve"> I</w:t>
      </w:r>
      <w:r w:rsidR="009C1CEF" w:rsidRPr="0072744E">
        <w:t xml:space="preserve">n this treatise, too, Chaucer talks about sight as a precursor for reason and intelligence. By analyzing Chaucer’s works, I hope to create a paradigm for a medieval understanding of sight that can then be applied to Malory’s less explicit </w:t>
      </w:r>
      <w:r w:rsidR="009C1CEF" w:rsidRPr="0072744E">
        <w:rPr>
          <w:i/>
        </w:rPr>
        <w:t>Morte Darthur</w:t>
      </w:r>
      <w:r w:rsidR="005471A7" w:rsidRPr="0072744E">
        <w:rPr>
          <w:i/>
        </w:rPr>
        <w:t xml:space="preserve"> </w:t>
      </w:r>
      <w:r w:rsidR="005471A7" w:rsidRPr="0072744E">
        <w:t xml:space="preserve">and perhaps </w:t>
      </w:r>
      <w:r w:rsidR="005E2F7B">
        <w:t xml:space="preserve">to </w:t>
      </w:r>
      <w:r w:rsidR="005471A7" w:rsidRPr="0072744E">
        <w:t>other works that only have a few instances of sight events</w:t>
      </w:r>
      <w:r w:rsidR="009C1CEF" w:rsidRPr="0072744E">
        <w:rPr>
          <w:i/>
        </w:rPr>
        <w:t>.</w:t>
      </w:r>
    </w:p>
    <w:p w14:paraId="1630E5C5" w14:textId="5A66D523" w:rsidR="00773F93" w:rsidRPr="0072744E" w:rsidRDefault="005471A7" w:rsidP="002B186B">
      <w:pPr>
        <w:spacing w:line="480" w:lineRule="auto"/>
      </w:pPr>
      <w:r w:rsidRPr="0072744E">
        <w:tab/>
        <w:t xml:space="preserve">Because I hope to develop a framework for evaluating references to sight in Middle English </w:t>
      </w:r>
      <w:r w:rsidR="00453338">
        <w:t>tragedy</w:t>
      </w:r>
      <w:r w:rsidRPr="0072744E">
        <w:t xml:space="preserve">, I have excluded many other texts in order to control as many variables as possible. For example, Gower’s </w:t>
      </w:r>
      <w:proofErr w:type="spellStart"/>
      <w:r w:rsidRPr="0072744E">
        <w:rPr>
          <w:i/>
        </w:rPr>
        <w:t>Confessio</w:t>
      </w:r>
      <w:proofErr w:type="spellEnd"/>
      <w:r w:rsidRPr="0072744E">
        <w:rPr>
          <w:i/>
        </w:rPr>
        <w:t xml:space="preserve"> </w:t>
      </w:r>
      <w:proofErr w:type="spellStart"/>
      <w:r w:rsidRPr="0072744E">
        <w:rPr>
          <w:i/>
        </w:rPr>
        <w:t>Amantis</w:t>
      </w:r>
      <w:proofErr w:type="spellEnd"/>
      <w:r w:rsidRPr="0072744E">
        <w:rPr>
          <w:i/>
        </w:rPr>
        <w:t xml:space="preserve"> </w:t>
      </w:r>
      <w:r w:rsidRPr="0072744E">
        <w:t xml:space="preserve">begins with a group of stories that relate to the sense of sight. However, the </w:t>
      </w:r>
      <w:proofErr w:type="spellStart"/>
      <w:r w:rsidRPr="0072744E">
        <w:rPr>
          <w:i/>
        </w:rPr>
        <w:t>Confessio</w:t>
      </w:r>
      <w:proofErr w:type="spellEnd"/>
      <w:r w:rsidRPr="0072744E">
        <w:t xml:space="preserve">, as a catalogue of stories, represents a very different genre and potentially different ways of using vision. Likewise, Chaucer’s “Monk’s Tale,” and Lydgate’s </w:t>
      </w:r>
      <w:r w:rsidRPr="0072744E">
        <w:rPr>
          <w:i/>
        </w:rPr>
        <w:t>The Fall of Princes</w:t>
      </w:r>
      <w:r w:rsidRPr="0072744E">
        <w:t xml:space="preserve"> represent several tragedies, but they are drawn from </w:t>
      </w:r>
      <w:r w:rsidR="00DF45B1">
        <w:t xml:space="preserve">varied </w:t>
      </w:r>
      <w:r w:rsidR="00773F93" w:rsidRPr="0072744E">
        <w:t xml:space="preserve">sources, and do not necessarily represent a sustained development of plot or characterization. I will focus my attention on </w:t>
      </w:r>
      <w:r w:rsidR="00773F93" w:rsidRPr="0072744E">
        <w:rPr>
          <w:i/>
        </w:rPr>
        <w:t>Troilus and Criseyde</w:t>
      </w:r>
      <w:r w:rsidR="000C5534">
        <w:rPr>
          <w:i/>
        </w:rPr>
        <w:t xml:space="preserve"> </w:t>
      </w:r>
      <w:r w:rsidR="00773F93" w:rsidRPr="0072744E">
        <w:t xml:space="preserve">and the </w:t>
      </w:r>
      <w:r w:rsidR="00773F93" w:rsidRPr="0072744E">
        <w:rPr>
          <w:i/>
        </w:rPr>
        <w:t xml:space="preserve">Morte Darthur </w:t>
      </w:r>
      <w:r w:rsidR="00773F93" w:rsidRPr="0072744E">
        <w:t>because they are both completed, canonized</w:t>
      </w:r>
      <w:r w:rsidR="00453338">
        <w:t xml:space="preserve"> Middle English narratives</w:t>
      </w:r>
      <w:r w:rsidR="00773F93" w:rsidRPr="0072744E">
        <w:t xml:space="preserve">, and thus most potentially represent a full study on the role of sight and reason in tragedy that may have influenced contemporary and later </w:t>
      </w:r>
      <w:r w:rsidR="00773F93" w:rsidRPr="0072744E">
        <w:lastRenderedPageBreak/>
        <w:t>writers. Depending on the results of this dissertation, I may be able to extend the study to include other works by other authors, but for now, I will focus on Chaucer and Malory.</w:t>
      </w:r>
    </w:p>
    <w:p w14:paraId="22664A98" w14:textId="77777777" w:rsidR="00773F93" w:rsidRPr="0072744E" w:rsidRDefault="00773F93" w:rsidP="002B186B">
      <w:pPr>
        <w:spacing w:line="480" w:lineRule="auto"/>
      </w:pPr>
    </w:p>
    <w:p w14:paraId="41496D98" w14:textId="6CEB8550" w:rsidR="00F009EC" w:rsidRPr="0072744E" w:rsidRDefault="003D4581" w:rsidP="002B186B">
      <w:pPr>
        <w:spacing w:line="480" w:lineRule="auto"/>
      </w:pPr>
      <w:r w:rsidRPr="0072744E">
        <w:rPr>
          <w:b/>
        </w:rPr>
        <w:t>Methodology</w:t>
      </w:r>
      <w:r w:rsidR="00F009EC" w:rsidRPr="0072744E">
        <w:rPr>
          <w:b/>
        </w:rPr>
        <w:t xml:space="preserve"> / Strategies</w:t>
      </w:r>
    </w:p>
    <w:p w14:paraId="61A421B7" w14:textId="360B95E1" w:rsidR="00CD40C4" w:rsidRPr="0072744E" w:rsidRDefault="00E41108" w:rsidP="002B186B">
      <w:pPr>
        <w:spacing w:line="480" w:lineRule="auto"/>
      </w:pPr>
      <w:r w:rsidRPr="0072744E">
        <w:tab/>
      </w:r>
      <w:r w:rsidR="00CD40C4" w:rsidRPr="0072744E">
        <w:t>My approach to this project will be largely</w:t>
      </w:r>
      <w:r w:rsidR="005E2F7B">
        <w:t xml:space="preserve"> through a form of</w:t>
      </w:r>
      <w:r w:rsidR="00CD40C4" w:rsidRPr="0072744E">
        <w:t xml:space="preserve"> new historicism. I will assume, </w:t>
      </w:r>
      <w:r w:rsidR="000625FA">
        <w:t>as Louis Montrose has written</w:t>
      </w:r>
      <w:r w:rsidR="00CD40C4" w:rsidRPr="0072744E">
        <w:t xml:space="preserve">, that </w:t>
      </w:r>
      <w:r w:rsidR="000625FA">
        <w:t xml:space="preserve">literary </w:t>
      </w:r>
      <w:r w:rsidR="00CD40C4" w:rsidRPr="0072744E">
        <w:t xml:space="preserve">texts are both </w:t>
      </w:r>
      <w:r w:rsidR="000625FA">
        <w:t>“</w:t>
      </w:r>
      <w:r w:rsidR="00CD40C4" w:rsidRPr="0072744E">
        <w:t>socially produced</w:t>
      </w:r>
      <w:r w:rsidR="000625FA">
        <w:t>”</w:t>
      </w:r>
      <w:r w:rsidR="00CD40C4" w:rsidRPr="0072744E">
        <w:t xml:space="preserve"> and </w:t>
      </w:r>
      <w:r w:rsidR="000625FA">
        <w:t>“</w:t>
      </w:r>
      <w:r w:rsidR="00CD40C4" w:rsidRPr="0072744E">
        <w:t>socially productive</w:t>
      </w:r>
      <w:r w:rsidR="000625FA">
        <w:t>”</w:t>
      </w:r>
      <w:r w:rsidR="00CD40C4" w:rsidRPr="0072744E">
        <w:t xml:space="preserve"> </w:t>
      </w:r>
      <w:r w:rsidR="00CD40C4" w:rsidRPr="000625FA">
        <w:t>(</w:t>
      </w:r>
      <w:r w:rsidR="000625FA" w:rsidRPr="000625FA">
        <w:t>588</w:t>
      </w:r>
      <w:r w:rsidR="00CD40C4" w:rsidRPr="000625FA">
        <w:t>)</w:t>
      </w:r>
      <w:r w:rsidR="000625FA">
        <w:t xml:space="preserve">, or as H. Aram </w:t>
      </w:r>
      <w:proofErr w:type="spellStart"/>
      <w:r w:rsidR="000625FA">
        <w:t>Veeser</w:t>
      </w:r>
      <w:proofErr w:type="spellEnd"/>
      <w:r w:rsidR="000625FA">
        <w:t xml:space="preserve"> has </w:t>
      </w:r>
      <w:r w:rsidR="00453338">
        <w:t>observed</w:t>
      </w:r>
      <w:r w:rsidR="000625FA">
        <w:t>,</w:t>
      </w:r>
      <w:r w:rsidR="00453338">
        <w:t xml:space="preserve"> that</w:t>
      </w:r>
      <w:r w:rsidR="000625FA">
        <w:t xml:space="preserve"> “eve</w:t>
      </w:r>
      <w:r w:rsidR="000625FA" w:rsidRPr="00DF45B1">
        <w:t>ry expressive act is embedded in a network of material practices” (14)</w:t>
      </w:r>
      <w:r w:rsidR="00CD40C4" w:rsidRPr="00DF45B1">
        <w:t xml:space="preserve">. </w:t>
      </w:r>
      <w:r w:rsidR="003E18A0" w:rsidRPr="00DF45B1">
        <w:t xml:space="preserve">Catherine Gallagher and Stephen Greenblatt describe this practice as “finding the creative power that shapes literary works </w:t>
      </w:r>
      <w:r w:rsidR="003E18A0" w:rsidRPr="00DF45B1">
        <w:rPr>
          <w:i/>
        </w:rPr>
        <w:t xml:space="preserve">outside </w:t>
      </w:r>
      <w:r w:rsidR="003E18A0" w:rsidRPr="00DF45B1">
        <w:t>the narrow boundaries in which it had hitherto been located” (12, emphasis original).</w:t>
      </w:r>
      <w:r w:rsidR="003E18A0">
        <w:t xml:space="preserve"> </w:t>
      </w:r>
      <w:r w:rsidR="00CD40C4" w:rsidRPr="0072744E">
        <w:t xml:space="preserve">In other words, the scholarly debate on extramissive and intromissive sight that occurred in the centuries before Chaucer and Malory would have been “in the air,” and </w:t>
      </w:r>
      <w:r w:rsidR="00F61C10">
        <w:t xml:space="preserve">contemporary </w:t>
      </w:r>
      <w:r w:rsidR="00CD40C4" w:rsidRPr="0072744E">
        <w:t>authors cou</w:t>
      </w:r>
      <w:r w:rsidR="0064077A">
        <w:t xml:space="preserve">ld reflect its assumptions and conclusions </w:t>
      </w:r>
      <w:r w:rsidR="00CD40C4" w:rsidRPr="0072744E">
        <w:t>in their wo</w:t>
      </w:r>
      <w:r w:rsidR="00807493" w:rsidRPr="0072744E">
        <w:t>rks.</w:t>
      </w:r>
      <w:r w:rsidR="001E7271">
        <w:rPr>
          <w:rStyle w:val="FootnoteReference"/>
        </w:rPr>
        <w:footnoteReference w:id="4"/>
      </w:r>
      <w:r w:rsidR="00807493" w:rsidRPr="0072744E">
        <w:t xml:space="preserve"> Of course, </w:t>
      </w:r>
      <w:r w:rsidR="00453338">
        <w:t xml:space="preserve">the </w:t>
      </w:r>
      <w:r w:rsidR="00807493" w:rsidRPr="0072744E">
        <w:t>extent to which Chaucer or Malory would have been familiar with any of these scientific models of sight is difficult to determine.</w:t>
      </w:r>
      <w:r w:rsidR="001E7271">
        <w:t xml:space="preserve"> </w:t>
      </w:r>
      <w:r w:rsidR="00807493" w:rsidRPr="0072744E">
        <w:t xml:space="preserve">However, </w:t>
      </w:r>
      <w:proofErr w:type="spellStart"/>
      <w:r w:rsidR="00807493" w:rsidRPr="0072744E">
        <w:t>Suzannah</w:t>
      </w:r>
      <w:proofErr w:type="spellEnd"/>
      <w:r w:rsidR="00807493" w:rsidRPr="0072744E">
        <w:t xml:space="preserve"> </w:t>
      </w:r>
      <w:proofErr w:type="spellStart"/>
      <w:r w:rsidR="00807493" w:rsidRPr="0072744E">
        <w:t>Biernoff</w:t>
      </w:r>
      <w:proofErr w:type="spellEnd"/>
      <w:r w:rsidR="00807493" w:rsidRPr="0072744E">
        <w:t xml:space="preserve"> speculates that there would have been ways for such esoteric doctrines to reach the general public. In her study of sight and embodiment, </w:t>
      </w:r>
      <w:proofErr w:type="spellStart"/>
      <w:r w:rsidR="00807493" w:rsidRPr="0072744E">
        <w:t>Biernoff</w:t>
      </w:r>
      <w:proofErr w:type="spellEnd"/>
      <w:r w:rsidR="00807493" w:rsidRPr="0072744E">
        <w:t xml:space="preserve"> includes examinations of several sermons from university-educated clergy which would have conveyed at least the basics of elite learning to the masses (6). She also concludes, based on the abundance of vision-inspired metaphors and images in many different kinds of texts, that “vision was a rich and contested discursive terrain</w:t>
      </w:r>
      <w:r w:rsidR="001E7271">
        <w:t xml:space="preserve"> in the later Middle Ages” (6). </w:t>
      </w:r>
      <w:r w:rsidR="00807493" w:rsidRPr="0072744E">
        <w:t xml:space="preserve">With all the debate surrounding </w:t>
      </w:r>
      <w:r w:rsidR="00807493" w:rsidRPr="0072744E">
        <w:lastRenderedPageBreak/>
        <w:t>sight, it would not be surprising to find two major authors of late medieval England as active members of this discursive community.</w:t>
      </w:r>
      <w:r w:rsidR="001E7271">
        <w:t xml:space="preserve"> </w:t>
      </w:r>
    </w:p>
    <w:p w14:paraId="650892CA" w14:textId="3302E0CA" w:rsidR="002F5A7C" w:rsidRDefault="00807493" w:rsidP="002B186B">
      <w:pPr>
        <w:spacing w:line="480" w:lineRule="auto"/>
      </w:pPr>
      <w:r w:rsidRPr="0072744E">
        <w:tab/>
        <w:t xml:space="preserve">I have already done some reading on the ways that sight was thought to operate in the eleventh through fifteenth centuries. David Lindberg’s </w:t>
      </w:r>
      <w:r w:rsidRPr="0072744E">
        <w:rPr>
          <w:i/>
        </w:rPr>
        <w:t>Theories of Vision</w:t>
      </w:r>
      <w:r w:rsidRPr="0072744E">
        <w:t xml:space="preserve"> has been immeasurably helpful in providing detailed descriptions of the development of opti</w:t>
      </w:r>
      <w:r w:rsidR="000E13FE">
        <w:t>cs, and in</w:t>
      </w:r>
      <w:r w:rsidRPr="0072744E">
        <w:t xml:space="preserve"> past papers, I have largely relied on his descriptions to summarize scientific </w:t>
      </w:r>
      <w:r w:rsidR="00E30956">
        <w:t>advance</w:t>
      </w:r>
      <w:r w:rsidRPr="0072744E">
        <w:t>s before developing my close reading of the literary text I have worked with. However, for my dissertation, I would like to read the primary texts that he outlines</w:t>
      </w:r>
      <w:r w:rsidR="00FE236B" w:rsidRPr="0072744E">
        <w:t>, or at least excerpts from them</w:t>
      </w:r>
      <w:r w:rsidRPr="0072744E">
        <w:t xml:space="preserve">. These include </w:t>
      </w:r>
      <w:r w:rsidR="00FE236B" w:rsidRPr="0072744E">
        <w:t xml:space="preserve">Roger Bacon’s </w:t>
      </w:r>
      <w:r w:rsidR="002F5A7C">
        <w:t xml:space="preserve">three works, </w:t>
      </w:r>
      <w:r w:rsidR="00FE236B" w:rsidRPr="0072744E">
        <w:t>which I listed before</w:t>
      </w:r>
      <w:r w:rsidR="002F5A7C">
        <w:t>,</w:t>
      </w:r>
      <w:r w:rsidR="00FE236B" w:rsidRPr="0072744E">
        <w:t xml:space="preserve"> and several others: </w:t>
      </w:r>
      <w:r w:rsidR="0098714F" w:rsidRPr="0072744E">
        <w:t xml:space="preserve">Seneca’s </w:t>
      </w:r>
      <w:proofErr w:type="spellStart"/>
      <w:r w:rsidR="0098714F" w:rsidRPr="0072744E">
        <w:rPr>
          <w:i/>
        </w:rPr>
        <w:t>Quaestiones</w:t>
      </w:r>
      <w:proofErr w:type="spellEnd"/>
      <w:r w:rsidR="0098714F" w:rsidRPr="0072744E">
        <w:rPr>
          <w:i/>
        </w:rPr>
        <w:t xml:space="preserve"> </w:t>
      </w:r>
      <w:proofErr w:type="spellStart"/>
      <w:r w:rsidR="0098714F" w:rsidRPr="0072744E">
        <w:rPr>
          <w:i/>
        </w:rPr>
        <w:t>Naturales</w:t>
      </w:r>
      <w:proofErr w:type="spellEnd"/>
      <w:r w:rsidR="0098714F" w:rsidRPr="0072744E">
        <w:rPr>
          <w:i/>
        </w:rPr>
        <w:t xml:space="preserve"> </w:t>
      </w:r>
      <w:r w:rsidR="0098714F" w:rsidRPr="0072744E">
        <w:t xml:space="preserve">(c. 65), Pliny the Elder’s </w:t>
      </w:r>
      <w:proofErr w:type="spellStart"/>
      <w:r w:rsidR="0098714F" w:rsidRPr="0072744E">
        <w:rPr>
          <w:i/>
        </w:rPr>
        <w:t>Naturalis</w:t>
      </w:r>
      <w:proofErr w:type="spellEnd"/>
      <w:r w:rsidR="0098714F" w:rsidRPr="0072744E">
        <w:rPr>
          <w:i/>
        </w:rPr>
        <w:t xml:space="preserve"> </w:t>
      </w:r>
      <w:proofErr w:type="spellStart"/>
      <w:r w:rsidR="0098714F" w:rsidRPr="0072744E">
        <w:rPr>
          <w:i/>
        </w:rPr>
        <w:t>Historia</w:t>
      </w:r>
      <w:proofErr w:type="spellEnd"/>
      <w:r w:rsidR="000E13FE">
        <w:t xml:space="preserve"> (c. 78), </w:t>
      </w:r>
      <w:proofErr w:type="spellStart"/>
      <w:r w:rsidR="000E13FE">
        <w:t>C</w:t>
      </w:r>
      <w:r w:rsidR="0098714F" w:rsidRPr="0072744E">
        <w:t>alcidius</w:t>
      </w:r>
      <w:proofErr w:type="spellEnd"/>
      <w:r w:rsidR="0098714F" w:rsidRPr="0072744E">
        <w:t xml:space="preserve">’ translation of and commentary on Plato’s </w:t>
      </w:r>
      <w:proofErr w:type="spellStart"/>
      <w:r w:rsidR="0098714F" w:rsidRPr="0072744E">
        <w:rPr>
          <w:i/>
        </w:rPr>
        <w:t>Timaeus</w:t>
      </w:r>
      <w:proofErr w:type="spellEnd"/>
      <w:r w:rsidR="0098714F" w:rsidRPr="0072744E">
        <w:t xml:space="preserve"> (c. 321), Saint Augustine’s </w:t>
      </w:r>
      <w:r w:rsidR="0098714F" w:rsidRPr="0072744E">
        <w:rPr>
          <w:i/>
        </w:rPr>
        <w:t xml:space="preserve">De </w:t>
      </w:r>
      <w:proofErr w:type="spellStart"/>
      <w:r w:rsidR="0098714F" w:rsidRPr="0072744E">
        <w:rPr>
          <w:i/>
        </w:rPr>
        <w:t>Trinitate</w:t>
      </w:r>
      <w:proofErr w:type="spellEnd"/>
      <w:r w:rsidR="0098714F" w:rsidRPr="0072744E">
        <w:rPr>
          <w:i/>
        </w:rPr>
        <w:t xml:space="preserve"> </w:t>
      </w:r>
      <w:r w:rsidR="0098714F" w:rsidRPr="0072744E">
        <w:t xml:space="preserve">(c. 400), Alhazen’s </w:t>
      </w:r>
      <w:r w:rsidR="0098714F" w:rsidRPr="0072744E">
        <w:rPr>
          <w:i/>
        </w:rPr>
        <w:t xml:space="preserve">De </w:t>
      </w:r>
      <w:proofErr w:type="spellStart"/>
      <w:r w:rsidR="0098714F" w:rsidRPr="0072744E">
        <w:rPr>
          <w:i/>
        </w:rPr>
        <w:t>Aspectibus</w:t>
      </w:r>
      <w:proofErr w:type="spellEnd"/>
      <w:r w:rsidR="0098714F" w:rsidRPr="0072744E">
        <w:rPr>
          <w:i/>
        </w:rPr>
        <w:t xml:space="preserve"> </w:t>
      </w:r>
      <w:r w:rsidR="0098714F" w:rsidRPr="0072744E">
        <w:t xml:space="preserve">(c. 1000, influence felt in the West c. 1260), </w:t>
      </w:r>
      <w:proofErr w:type="spellStart"/>
      <w:r w:rsidR="0098714F" w:rsidRPr="0072744E">
        <w:t>Adelard</w:t>
      </w:r>
      <w:proofErr w:type="spellEnd"/>
      <w:r w:rsidR="0098714F" w:rsidRPr="0072744E">
        <w:t xml:space="preserve"> of Bath’s </w:t>
      </w:r>
      <w:proofErr w:type="spellStart"/>
      <w:r w:rsidR="0098714F" w:rsidRPr="0072744E">
        <w:rPr>
          <w:i/>
        </w:rPr>
        <w:t>Questiones</w:t>
      </w:r>
      <w:proofErr w:type="spellEnd"/>
      <w:r w:rsidR="0098714F" w:rsidRPr="0072744E">
        <w:rPr>
          <w:i/>
        </w:rPr>
        <w:t xml:space="preserve"> </w:t>
      </w:r>
      <w:proofErr w:type="spellStart"/>
      <w:r w:rsidR="0098714F" w:rsidRPr="0072744E">
        <w:rPr>
          <w:i/>
        </w:rPr>
        <w:t>Naturales</w:t>
      </w:r>
      <w:proofErr w:type="spellEnd"/>
      <w:r w:rsidR="0098714F" w:rsidRPr="0072744E">
        <w:rPr>
          <w:i/>
        </w:rPr>
        <w:t xml:space="preserve"> </w:t>
      </w:r>
      <w:r w:rsidR="0098714F" w:rsidRPr="0072744E">
        <w:t xml:space="preserve">(c. 1140), William of Conches’ </w:t>
      </w:r>
      <w:proofErr w:type="spellStart"/>
      <w:r w:rsidR="0098714F" w:rsidRPr="0072744E">
        <w:rPr>
          <w:i/>
        </w:rPr>
        <w:t>Philosophia</w:t>
      </w:r>
      <w:proofErr w:type="spellEnd"/>
      <w:r w:rsidR="0098714F" w:rsidRPr="0072744E">
        <w:rPr>
          <w:i/>
        </w:rPr>
        <w:t xml:space="preserve"> Mundi </w:t>
      </w:r>
      <w:r w:rsidR="0098714F" w:rsidRPr="0072744E">
        <w:t>(c. 1150)</w:t>
      </w:r>
      <w:r w:rsidR="008F6A7B" w:rsidRPr="0072744E">
        <w:t xml:space="preserve">, </w:t>
      </w:r>
      <w:r w:rsidR="0098714F" w:rsidRPr="0072744E">
        <w:t xml:space="preserve"> and</w:t>
      </w:r>
      <w:r w:rsidR="008F6A7B" w:rsidRPr="0072744E">
        <w:rPr>
          <w:lang w:val="en"/>
        </w:rPr>
        <w:t xml:space="preserve"> </w:t>
      </w:r>
      <w:r w:rsidR="0098714F" w:rsidRPr="0072744E">
        <w:t xml:space="preserve">Robert </w:t>
      </w:r>
      <w:proofErr w:type="spellStart"/>
      <w:r w:rsidR="0098714F" w:rsidRPr="0072744E">
        <w:t>Grosseteste’s</w:t>
      </w:r>
      <w:proofErr w:type="spellEnd"/>
      <w:r w:rsidR="0098714F" w:rsidRPr="0072744E">
        <w:t xml:space="preserve"> </w:t>
      </w:r>
      <w:r w:rsidR="0098714F" w:rsidRPr="0072744E">
        <w:rPr>
          <w:i/>
        </w:rPr>
        <w:t xml:space="preserve">De </w:t>
      </w:r>
      <w:proofErr w:type="spellStart"/>
      <w:r w:rsidR="0098714F" w:rsidRPr="0072744E">
        <w:rPr>
          <w:i/>
        </w:rPr>
        <w:t>Linei</w:t>
      </w:r>
      <w:proofErr w:type="spellEnd"/>
      <w:r w:rsidR="0098714F" w:rsidRPr="0072744E">
        <w:rPr>
          <w:i/>
        </w:rPr>
        <w:t xml:space="preserve">, </w:t>
      </w:r>
      <w:proofErr w:type="spellStart"/>
      <w:r w:rsidR="0098714F" w:rsidRPr="0072744E">
        <w:rPr>
          <w:i/>
        </w:rPr>
        <w:t>Angulis</w:t>
      </w:r>
      <w:proofErr w:type="spellEnd"/>
      <w:r w:rsidR="0098714F" w:rsidRPr="0072744E">
        <w:rPr>
          <w:i/>
        </w:rPr>
        <w:t xml:space="preserve"> et </w:t>
      </w:r>
      <w:proofErr w:type="spellStart"/>
      <w:r w:rsidR="0098714F" w:rsidRPr="0072744E">
        <w:rPr>
          <w:i/>
        </w:rPr>
        <w:t>Figuris</w:t>
      </w:r>
      <w:proofErr w:type="spellEnd"/>
      <w:r w:rsidR="0098714F" w:rsidRPr="0072744E">
        <w:t xml:space="preserve"> and </w:t>
      </w:r>
      <w:r w:rsidR="0098714F" w:rsidRPr="0072744E">
        <w:rPr>
          <w:i/>
        </w:rPr>
        <w:t xml:space="preserve">De </w:t>
      </w:r>
      <w:proofErr w:type="spellStart"/>
      <w:r w:rsidR="0098714F" w:rsidRPr="0072744E">
        <w:rPr>
          <w:i/>
        </w:rPr>
        <w:t>Iride</w:t>
      </w:r>
      <w:proofErr w:type="spellEnd"/>
      <w:r w:rsidR="0098714F" w:rsidRPr="0072744E">
        <w:rPr>
          <w:i/>
        </w:rPr>
        <w:t xml:space="preserve"> </w:t>
      </w:r>
      <w:r w:rsidR="0098714F" w:rsidRPr="0072744E">
        <w:t>(c. 1230’s)</w:t>
      </w:r>
      <w:r w:rsidR="00FE236B" w:rsidRPr="0072744E">
        <w:t xml:space="preserve">. </w:t>
      </w:r>
      <w:r w:rsidR="000E13FE" w:rsidRPr="0072744E">
        <w:t xml:space="preserve">Lindberg’s </w:t>
      </w:r>
      <w:r w:rsidR="000E13FE" w:rsidRPr="0072744E">
        <w:rPr>
          <w:i/>
        </w:rPr>
        <w:t xml:space="preserve">Theories of Vision </w:t>
      </w:r>
      <w:r w:rsidR="000E13FE" w:rsidRPr="0072744E">
        <w:t xml:space="preserve">provides helpful notes on the areas of these texts that grapple with the idea of vision, which should allow me to consider these primary texts </w:t>
      </w:r>
      <w:r w:rsidR="0064077A">
        <w:t>with respect to the works by Chaucer and Malory</w:t>
      </w:r>
      <w:r w:rsidR="000E13FE" w:rsidRPr="0072744E">
        <w:t>.</w:t>
      </w:r>
      <w:r w:rsidR="000E13FE">
        <w:t xml:space="preserve"> </w:t>
      </w:r>
      <w:r w:rsidR="008F6A7B" w:rsidRPr="0072744E">
        <w:t xml:space="preserve">I may also examine </w:t>
      </w:r>
      <w:r w:rsidR="008F6A7B" w:rsidRPr="0072744E">
        <w:rPr>
          <w:lang w:val="en"/>
        </w:rPr>
        <w:t xml:space="preserve">Andreas </w:t>
      </w:r>
      <w:proofErr w:type="spellStart"/>
      <w:r w:rsidR="008F6A7B" w:rsidRPr="0072744E">
        <w:rPr>
          <w:lang w:val="en"/>
        </w:rPr>
        <w:t>Capellanus</w:t>
      </w:r>
      <w:proofErr w:type="spellEnd"/>
      <w:r w:rsidR="008F6A7B" w:rsidRPr="0072744E">
        <w:rPr>
          <w:lang w:val="en"/>
        </w:rPr>
        <w:t xml:space="preserve">’ </w:t>
      </w:r>
      <w:r w:rsidR="008F6A7B" w:rsidRPr="0072744E">
        <w:rPr>
          <w:i/>
          <w:lang w:val="en"/>
        </w:rPr>
        <w:t>De Amore</w:t>
      </w:r>
      <w:r w:rsidR="002F5A7C">
        <w:rPr>
          <w:i/>
          <w:lang w:val="en"/>
        </w:rPr>
        <w:t xml:space="preserve"> </w:t>
      </w:r>
      <w:r w:rsidR="002F5A7C">
        <w:rPr>
          <w:lang w:val="en"/>
        </w:rPr>
        <w:t>(c. 1186)</w:t>
      </w:r>
      <w:r w:rsidR="008F6A7B" w:rsidRPr="0072744E">
        <w:t>,</w:t>
      </w:r>
      <w:r w:rsidR="000E13FE">
        <w:t xml:space="preserve"> which is l</w:t>
      </w:r>
      <w:r w:rsidR="000E13FE" w:rsidRPr="0072744E">
        <w:t>ess scientific, but still concerned with the impact of vision</w:t>
      </w:r>
      <w:r w:rsidR="000E13FE">
        <w:t xml:space="preserve"> as</w:t>
      </w:r>
      <w:r w:rsidR="008F6A7B" w:rsidRPr="0072744E">
        <w:t xml:space="preserve"> he states that love arises from the obsessive gazing upon one’s beloved, and </w:t>
      </w:r>
      <w:r w:rsidR="000E13FE">
        <w:t>he</w:t>
      </w:r>
      <w:r w:rsidR="008F6A7B" w:rsidRPr="0072744E">
        <w:t xml:space="preserve"> includes other precepts for </w:t>
      </w:r>
      <w:r w:rsidR="000E13FE">
        <w:t xml:space="preserve">courtly </w:t>
      </w:r>
      <w:r w:rsidR="008F6A7B" w:rsidRPr="0072744E">
        <w:t xml:space="preserve">love that depend on sight. </w:t>
      </w:r>
    </w:p>
    <w:p w14:paraId="7663612D" w14:textId="14F42E05" w:rsidR="00587FD9" w:rsidRPr="0072744E" w:rsidRDefault="00587FD9" w:rsidP="002F5A7C">
      <w:pPr>
        <w:spacing w:line="480" w:lineRule="auto"/>
        <w:rPr>
          <w:lang w:val="en"/>
        </w:rPr>
      </w:pPr>
      <w:r w:rsidRPr="0072744E">
        <w:t>Robert Nelson points out that w</w:t>
      </w:r>
      <w:r w:rsidR="00CD40C4" w:rsidRPr="0072744E">
        <w:t xml:space="preserve">hen modern readers project their own, modern ideas of sight into the medieval era, there is a good chance that they will “flatten, obscure, and even destroy delicate vestiges of prior practices” (2). In the realm of literature, modern readers run the risk of </w:t>
      </w:r>
      <w:r w:rsidR="00CD40C4" w:rsidRPr="0072744E">
        <w:lastRenderedPageBreak/>
        <w:t xml:space="preserve">ignoring the way that these “delicate vestiges” may influence our understanding of </w:t>
      </w:r>
      <w:r w:rsidR="000E13FE">
        <w:t>literary works. By examining the scientific treatises of the era, I hope to preserve some of these vestiges.</w:t>
      </w:r>
    </w:p>
    <w:p w14:paraId="3C189CCB" w14:textId="77777777" w:rsidR="002F5A7C" w:rsidRDefault="002F5A7C">
      <w:pPr>
        <w:rPr>
          <w:b/>
        </w:rPr>
      </w:pPr>
      <w:r>
        <w:rPr>
          <w:b/>
        </w:rPr>
        <w:br w:type="page"/>
      </w:r>
    </w:p>
    <w:p w14:paraId="4B3B1488" w14:textId="78359EC3" w:rsidR="00686028" w:rsidRPr="002F5A7C" w:rsidRDefault="00686028" w:rsidP="002F5A7C">
      <w:pPr>
        <w:spacing w:line="480" w:lineRule="auto"/>
        <w:jc w:val="center"/>
      </w:pPr>
      <w:r w:rsidRPr="00EC4D4C">
        <w:rPr>
          <w:b/>
        </w:rPr>
        <w:lastRenderedPageBreak/>
        <w:t>Working Bibliography</w:t>
      </w:r>
    </w:p>
    <w:p w14:paraId="0178B566"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Akbari, Suzanne Conklin. </w:t>
      </w:r>
      <w:r w:rsidRPr="0072744E">
        <w:rPr>
          <w:rFonts w:eastAsia="Times New Roman"/>
          <w:i/>
          <w:iCs/>
        </w:rPr>
        <w:t>Seeing through the Veil: Optical Theory and Medieval Allegory</w:t>
      </w:r>
      <w:r w:rsidRPr="0072744E">
        <w:rPr>
          <w:rFonts w:eastAsia="Times New Roman"/>
        </w:rPr>
        <w:t>. Toronto: University of Toronto Press, 2004. Print.</w:t>
      </w:r>
    </w:p>
    <w:p w14:paraId="0ED3ACAD"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Atkinson, Stephen C. B. “‘Now I </w:t>
      </w:r>
      <w:proofErr w:type="spellStart"/>
      <w:r w:rsidRPr="0072744E">
        <w:rPr>
          <w:rFonts w:eastAsia="Times New Roman"/>
        </w:rPr>
        <w:t>Se</w:t>
      </w:r>
      <w:proofErr w:type="spellEnd"/>
      <w:r w:rsidRPr="0072744E">
        <w:rPr>
          <w:rFonts w:eastAsia="Times New Roman"/>
        </w:rPr>
        <w:t xml:space="preserve"> and </w:t>
      </w:r>
      <w:proofErr w:type="spellStart"/>
      <w:r w:rsidRPr="0072744E">
        <w:rPr>
          <w:rFonts w:eastAsia="Times New Roman"/>
        </w:rPr>
        <w:t>Undirstonde</w:t>
      </w:r>
      <w:proofErr w:type="spellEnd"/>
      <w:r w:rsidRPr="0072744E">
        <w:rPr>
          <w:rFonts w:eastAsia="Times New Roman"/>
        </w:rPr>
        <w:t xml:space="preserve">’: The Grail Quest and the Education of Malory’s Reader.” </w:t>
      </w:r>
      <w:r w:rsidRPr="0072744E">
        <w:rPr>
          <w:rFonts w:eastAsia="Times New Roman"/>
          <w:i/>
          <w:iCs/>
        </w:rPr>
        <w:t>The Arthurian Tradition: Essays in Convergence</w:t>
      </w:r>
      <w:r w:rsidRPr="0072744E">
        <w:rPr>
          <w:rFonts w:eastAsia="Times New Roman"/>
        </w:rPr>
        <w:t xml:space="preserve">. Ed. Mary Flowers Braswell and John </w:t>
      </w:r>
      <w:proofErr w:type="spellStart"/>
      <w:r w:rsidRPr="0072744E">
        <w:rPr>
          <w:rFonts w:eastAsia="Times New Roman"/>
        </w:rPr>
        <w:t>Bugge</w:t>
      </w:r>
      <w:proofErr w:type="spellEnd"/>
      <w:r w:rsidRPr="0072744E">
        <w:rPr>
          <w:rFonts w:eastAsia="Times New Roman"/>
        </w:rPr>
        <w:t>. Tuscaloosa: U of Alabama P, 1988. 90–108. Print.</w:t>
      </w:r>
    </w:p>
    <w:p w14:paraId="6994192D" w14:textId="77777777" w:rsidR="00686028" w:rsidRPr="0072744E" w:rsidRDefault="00686028" w:rsidP="002B186B">
      <w:pPr>
        <w:spacing w:line="480" w:lineRule="auto"/>
        <w:ind w:left="720" w:hanging="720"/>
        <w:rPr>
          <w:rFonts w:eastAsia="Times New Roman"/>
        </w:rPr>
      </w:pPr>
      <w:proofErr w:type="spellStart"/>
      <w:r w:rsidRPr="0072744E">
        <w:rPr>
          <w:rFonts w:eastAsia="Times New Roman"/>
        </w:rPr>
        <w:t>Biernoff</w:t>
      </w:r>
      <w:proofErr w:type="spellEnd"/>
      <w:r w:rsidRPr="0072744E">
        <w:rPr>
          <w:rFonts w:eastAsia="Times New Roman"/>
        </w:rPr>
        <w:t xml:space="preserve">, </w:t>
      </w:r>
      <w:proofErr w:type="spellStart"/>
      <w:r w:rsidRPr="0072744E">
        <w:rPr>
          <w:rFonts w:eastAsia="Times New Roman"/>
        </w:rPr>
        <w:t>Suzannah</w:t>
      </w:r>
      <w:proofErr w:type="spellEnd"/>
      <w:r w:rsidRPr="0072744E">
        <w:rPr>
          <w:rFonts w:eastAsia="Times New Roman"/>
        </w:rPr>
        <w:t xml:space="preserve">. </w:t>
      </w:r>
      <w:r w:rsidRPr="0072744E">
        <w:rPr>
          <w:rFonts w:eastAsia="Times New Roman"/>
          <w:i/>
          <w:iCs/>
        </w:rPr>
        <w:t xml:space="preserve">Sight and Embodiment in the </w:t>
      </w:r>
      <w:proofErr w:type="gramStart"/>
      <w:r w:rsidRPr="0072744E">
        <w:rPr>
          <w:rFonts w:eastAsia="Times New Roman"/>
          <w:i/>
          <w:iCs/>
        </w:rPr>
        <w:t>Middle</w:t>
      </w:r>
      <w:proofErr w:type="gramEnd"/>
      <w:r w:rsidRPr="0072744E">
        <w:rPr>
          <w:rFonts w:eastAsia="Times New Roman"/>
          <w:i/>
          <w:iCs/>
        </w:rPr>
        <w:t xml:space="preserve"> Ages</w:t>
      </w:r>
      <w:r w:rsidRPr="0072744E">
        <w:rPr>
          <w:rFonts w:eastAsia="Times New Roman"/>
        </w:rPr>
        <w:t xml:space="preserve">. </w:t>
      </w:r>
      <w:proofErr w:type="spellStart"/>
      <w:r w:rsidRPr="0072744E">
        <w:rPr>
          <w:rFonts w:eastAsia="Times New Roman"/>
        </w:rPr>
        <w:t>Houndmills</w:t>
      </w:r>
      <w:proofErr w:type="spellEnd"/>
      <w:r w:rsidRPr="0072744E">
        <w:rPr>
          <w:rFonts w:eastAsia="Times New Roman"/>
        </w:rPr>
        <w:t>, Basingstoke, Hampshire; New York: Palgrave Macmillan, 2002. Print.</w:t>
      </w:r>
    </w:p>
    <w:p w14:paraId="7196BEC1"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Bynum, Caroline Walker. </w:t>
      </w:r>
      <w:r w:rsidRPr="0072744E">
        <w:rPr>
          <w:rFonts w:eastAsia="Times New Roman"/>
          <w:i/>
          <w:iCs/>
        </w:rPr>
        <w:t>Holy Feast and Holy Fast: The Religious Significance of Food to Medieval Women</w:t>
      </w:r>
      <w:r w:rsidRPr="0072744E">
        <w:rPr>
          <w:rFonts w:eastAsia="Times New Roman"/>
        </w:rPr>
        <w:t>. Berkeley: University of California Press, 1987. Print.</w:t>
      </w:r>
    </w:p>
    <w:p w14:paraId="3F20EDBF"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Corrie, Marilyn. “‘God May Well Fordo </w:t>
      </w:r>
      <w:proofErr w:type="spellStart"/>
      <w:r w:rsidRPr="0072744E">
        <w:rPr>
          <w:rFonts w:eastAsia="Times New Roman"/>
        </w:rPr>
        <w:t>Desteny</w:t>
      </w:r>
      <w:proofErr w:type="spellEnd"/>
      <w:r w:rsidRPr="0072744E">
        <w:rPr>
          <w:rFonts w:eastAsia="Times New Roman"/>
        </w:rPr>
        <w:t xml:space="preserve">’: Dealing with Fate, Destiny, and Fortune in Sir Thomas Malory’s Le Morte Darthur and Other Late Medieval Writing.” </w:t>
      </w:r>
      <w:r w:rsidRPr="0072744E">
        <w:rPr>
          <w:rFonts w:eastAsia="Times New Roman"/>
          <w:i/>
          <w:iCs/>
        </w:rPr>
        <w:t>Studies in Philology</w:t>
      </w:r>
      <w:r w:rsidRPr="0072744E">
        <w:rPr>
          <w:rFonts w:eastAsia="Times New Roman"/>
        </w:rPr>
        <w:t xml:space="preserve"> 110.4 (2013): 690–713. Print.</w:t>
      </w:r>
    </w:p>
    <w:p w14:paraId="6D4D8722"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Crocker, Holly A. </w:t>
      </w:r>
      <w:r w:rsidRPr="0072744E">
        <w:rPr>
          <w:rFonts w:eastAsia="Times New Roman"/>
          <w:i/>
          <w:iCs/>
        </w:rPr>
        <w:t>Chaucer’s Visions of Manhood</w:t>
      </w:r>
      <w:r w:rsidRPr="0072744E">
        <w:rPr>
          <w:rFonts w:eastAsia="Times New Roman"/>
        </w:rPr>
        <w:t>. New York: Palgrave Macmillan, 2007. Print.</w:t>
      </w:r>
    </w:p>
    <w:p w14:paraId="52461FE2"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Crombie, A. C. </w:t>
      </w:r>
      <w:r w:rsidRPr="0072744E">
        <w:rPr>
          <w:rFonts w:eastAsia="Times New Roman"/>
          <w:i/>
          <w:iCs/>
        </w:rPr>
        <w:t>Science, Optics, and Music in Medieval and Early Modern Thought</w:t>
      </w:r>
      <w:r w:rsidRPr="0072744E">
        <w:rPr>
          <w:rFonts w:eastAsia="Times New Roman"/>
        </w:rPr>
        <w:t xml:space="preserve">. London; Ronceverte, WV, U.S.A.: </w:t>
      </w:r>
      <w:proofErr w:type="spellStart"/>
      <w:r w:rsidRPr="0072744E">
        <w:rPr>
          <w:rFonts w:eastAsia="Times New Roman"/>
        </w:rPr>
        <w:t>Hambledon</w:t>
      </w:r>
      <w:proofErr w:type="spellEnd"/>
      <w:r w:rsidRPr="0072744E">
        <w:rPr>
          <w:rFonts w:eastAsia="Times New Roman"/>
        </w:rPr>
        <w:t xml:space="preserve"> Press, 1990. Print.</w:t>
      </w:r>
    </w:p>
    <w:p w14:paraId="0A476438" w14:textId="77777777" w:rsidR="00F61C10" w:rsidRPr="00F61C10" w:rsidRDefault="00F61C10" w:rsidP="002B186B">
      <w:pPr>
        <w:spacing w:line="480" w:lineRule="auto"/>
        <w:ind w:left="720" w:hanging="720"/>
        <w:rPr>
          <w:rFonts w:eastAsia="Times New Roman"/>
        </w:rPr>
      </w:pPr>
      <w:r w:rsidRPr="00F61C10">
        <w:rPr>
          <w:rFonts w:eastAsia="Times New Roman"/>
        </w:rPr>
        <w:t xml:space="preserve">Dobbs, Elizabeth A. “Seeing through Windows in Chaucer’s Troilus.” </w:t>
      </w:r>
      <w:r w:rsidRPr="00F61C10">
        <w:rPr>
          <w:rFonts w:eastAsia="Times New Roman"/>
          <w:i/>
          <w:iCs/>
        </w:rPr>
        <w:t>Chaucer Review: A Journal of Medieval Studies and Literary Criticism</w:t>
      </w:r>
      <w:r w:rsidRPr="00F61C10">
        <w:rPr>
          <w:rFonts w:eastAsia="Times New Roman"/>
        </w:rPr>
        <w:t xml:space="preserve"> 32.4 (1998): 400–422. Print.</w:t>
      </w:r>
    </w:p>
    <w:p w14:paraId="6741F6BE"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Edwards, Robert, and Stephen Spector, </w:t>
      </w:r>
      <w:proofErr w:type="gramStart"/>
      <w:r w:rsidRPr="0072744E">
        <w:rPr>
          <w:rFonts w:eastAsia="Times New Roman"/>
        </w:rPr>
        <w:t>eds</w:t>
      </w:r>
      <w:proofErr w:type="gramEnd"/>
      <w:r w:rsidRPr="0072744E">
        <w:rPr>
          <w:rFonts w:eastAsia="Times New Roman"/>
        </w:rPr>
        <w:t xml:space="preserve">. </w:t>
      </w:r>
      <w:r w:rsidRPr="0072744E">
        <w:rPr>
          <w:rFonts w:eastAsia="Times New Roman"/>
          <w:i/>
          <w:iCs/>
        </w:rPr>
        <w:t xml:space="preserve">The </w:t>
      </w:r>
      <w:proofErr w:type="spellStart"/>
      <w:r w:rsidRPr="0072744E">
        <w:rPr>
          <w:rFonts w:eastAsia="Times New Roman"/>
          <w:i/>
          <w:iCs/>
        </w:rPr>
        <w:t>Olde</w:t>
      </w:r>
      <w:proofErr w:type="spellEnd"/>
      <w:r w:rsidRPr="0072744E">
        <w:rPr>
          <w:rFonts w:eastAsia="Times New Roman"/>
          <w:i/>
          <w:iCs/>
        </w:rPr>
        <w:t xml:space="preserve"> </w:t>
      </w:r>
      <w:proofErr w:type="spellStart"/>
      <w:r w:rsidRPr="0072744E">
        <w:rPr>
          <w:rFonts w:eastAsia="Times New Roman"/>
          <w:i/>
          <w:iCs/>
        </w:rPr>
        <w:t>Daunce</w:t>
      </w:r>
      <w:proofErr w:type="spellEnd"/>
      <w:r w:rsidRPr="0072744E">
        <w:rPr>
          <w:rFonts w:eastAsia="Times New Roman"/>
          <w:i/>
          <w:iCs/>
        </w:rPr>
        <w:t>: Love, Friendship, Sex, and Marriage in the Medieval World</w:t>
      </w:r>
      <w:r w:rsidRPr="0072744E">
        <w:rPr>
          <w:rFonts w:eastAsia="Times New Roman"/>
        </w:rPr>
        <w:t>. Albany: State University of New York Press, 1991. Print.</w:t>
      </w:r>
    </w:p>
    <w:p w14:paraId="72308BEC" w14:textId="72F51696" w:rsidR="003E18A0" w:rsidRPr="002F5A7C" w:rsidRDefault="003E18A0" w:rsidP="002B186B">
      <w:pPr>
        <w:spacing w:line="480" w:lineRule="auto"/>
        <w:ind w:left="720" w:hanging="720"/>
        <w:rPr>
          <w:rFonts w:eastAsia="Times New Roman"/>
        </w:rPr>
      </w:pPr>
      <w:r w:rsidRPr="002F5A7C">
        <w:rPr>
          <w:rFonts w:eastAsia="Times New Roman"/>
        </w:rPr>
        <w:t xml:space="preserve">Gallagher, Catherine and Stephen Greenblatt. “Introduction.” </w:t>
      </w:r>
      <w:r w:rsidRPr="002F5A7C">
        <w:rPr>
          <w:rFonts w:eastAsia="Times New Roman"/>
          <w:i/>
        </w:rPr>
        <w:t>Practicing New Historicism</w:t>
      </w:r>
      <w:r w:rsidRPr="002F5A7C">
        <w:rPr>
          <w:rFonts w:eastAsia="Times New Roman"/>
        </w:rPr>
        <w:t>. Chicago: U Chicago P, 2000. 1-19. Print.</w:t>
      </w:r>
    </w:p>
    <w:p w14:paraId="68A3C876" w14:textId="77777777" w:rsidR="00686028" w:rsidRPr="002F5A7C" w:rsidRDefault="00686028" w:rsidP="002B186B">
      <w:pPr>
        <w:spacing w:line="480" w:lineRule="auto"/>
        <w:ind w:left="720" w:hanging="720"/>
        <w:rPr>
          <w:rFonts w:eastAsia="Times New Roman"/>
        </w:rPr>
      </w:pPr>
      <w:r w:rsidRPr="002F5A7C">
        <w:rPr>
          <w:rFonts w:eastAsia="Times New Roman"/>
        </w:rPr>
        <w:lastRenderedPageBreak/>
        <w:t xml:space="preserve">Giles, Kate. “Seeing and Believing: </w:t>
      </w:r>
      <w:proofErr w:type="spellStart"/>
      <w:r w:rsidRPr="002F5A7C">
        <w:rPr>
          <w:rFonts w:eastAsia="Times New Roman"/>
        </w:rPr>
        <w:t>Visuality</w:t>
      </w:r>
      <w:proofErr w:type="spellEnd"/>
      <w:r w:rsidRPr="002F5A7C">
        <w:rPr>
          <w:rFonts w:eastAsia="Times New Roman"/>
        </w:rPr>
        <w:t xml:space="preserve"> and Space in Pre-Modern England.” </w:t>
      </w:r>
      <w:r w:rsidRPr="002F5A7C">
        <w:rPr>
          <w:rFonts w:eastAsia="Times New Roman"/>
          <w:i/>
          <w:iCs/>
        </w:rPr>
        <w:t>World Archaeology</w:t>
      </w:r>
      <w:r w:rsidRPr="002F5A7C">
        <w:rPr>
          <w:rFonts w:eastAsia="Times New Roman"/>
        </w:rPr>
        <w:t xml:space="preserve"> 39.1 (2007): 105 – 121. </w:t>
      </w:r>
      <w:r w:rsidRPr="002F5A7C">
        <w:rPr>
          <w:rFonts w:eastAsia="Times New Roman"/>
          <w:i/>
          <w:iCs/>
        </w:rPr>
        <w:t xml:space="preserve">Baylor </w:t>
      </w:r>
      <w:proofErr w:type="spellStart"/>
      <w:r w:rsidRPr="002F5A7C">
        <w:rPr>
          <w:rFonts w:eastAsia="Times New Roman"/>
          <w:i/>
          <w:iCs/>
        </w:rPr>
        <w:t>OneSearch</w:t>
      </w:r>
      <w:proofErr w:type="spellEnd"/>
      <w:r w:rsidRPr="002F5A7C">
        <w:rPr>
          <w:rFonts w:eastAsia="Times New Roman"/>
          <w:i/>
          <w:iCs/>
        </w:rPr>
        <w:t>, Summon 2.0</w:t>
      </w:r>
      <w:r w:rsidRPr="002F5A7C">
        <w:rPr>
          <w:rFonts w:eastAsia="Times New Roman"/>
        </w:rPr>
        <w:t>. Web. 8 Apr. 2015.</w:t>
      </w:r>
    </w:p>
    <w:p w14:paraId="6E4E5738"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Greenwood, Mark K. “Women in Love, or Three Courtly Heroines in Chaucer and Malory: Elaine, Criseyde, and Guinevere.” </w:t>
      </w:r>
      <w:r w:rsidRPr="002F5A7C">
        <w:rPr>
          <w:rFonts w:eastAsia="Times New Roman"/>
          <w:i/>
          <w:iCs/>
        </w:rPr>
        <w:t xml:space="preserve">A </w:t>
      </w:r>
      <w:proofErr w:type="spellStart"/>
      <w:r w:rsidRPr="002F5A7C">
        <w:rPr>
          <w:rFonts w:eastAsia="Times New Roman"/>
          <w:i/>
          <w:iCs/>
        </w:rPr>
        <w:t>Wyf</w:t>
      </w:r>
      <w:proofErr w:type="spellEnd"/>
      <w:r w:rsidRPr="002F5A7C">
        <w:rPr>
          <w:rFonts w:eastAsia="Times New Roman"/>
          <w:i/>
          <w:iCs/>
        </w:rPr>
        <w:t xml:space="preserve"> </w:t>
      </w:r>
      <w:proofErr w:type="spellStart"/>
      <w:r w:rsidRPr="002F5A7C">
        <w:rPr>
          <w:rFonts w:eastAsia="Times New Roman"/>
          <w:i/>
          <w:iCs/>
        </w:rPr>
        <w:t>Ther</w:t>
      </w:r>
      <w:proofErr w:type="spellEnd"/>
      <w:r w:rsidRPr="002F5A7C">
        <w:rPr>
          <w:rFonts w:eastAsia="Times New Roman"/>
          <w:i/>
          <w:iCs/>
        </w:rPr>
        <w:t xml:space="preserve"> Was: Essays in </w:t>
      </w:r>
      <w:proofErr w:type="spellStart"/>
      <w:r w:rsidRPr="002F5A7C">
        <w:rPr>
          <w:rFonts w:eastAsia="Times New Roman"/>
          <w:i/>
          <w:iCs/>
        </w:rPr>
        <w:t>Honour</w:t>
      </w:r>
      <w:proofErr w:type="spellEnd"/>
      <w:r w:rsidRPr="002F5A7C">
        <w:rPr>
          <w:rFonts w:eastAsia="Times New Roman"/>
          <w:i/>
          <w:iCs/>
        </w:rPr>
        <w:t xml:space="preserve"> of </w:t>
      </w:r>
      <w:proofErr w:type="spellStart"/>
      <w:r w:rsidRPr="002F5A7C">
        <w:rPr>
          <w:rFonts w:eastAsia="Times New Roman"/>
          <w:i/>
          <w:iCs/>
        </w:rPr>
        <w:t>Paule</w:t>
      </w:r>
      <w:proofErr w:type="spellEnd"/>
      <w:r w:rsidRPr="002F5A7C">
        <w:rPr>
          <w:rFonts w:eastAsia="Times New Roman"/>
          <w:i/>
          <w:iCs/>
        </w:rPr>
        <w:t xml:space="preserve"> </w:t>
      </w:r>
      <w:proofErr w:type="spellStart"/>
      <w:r w:rsidRPr="002F5A7C">
        <w:rPr>
          <w:rFonts w:eastAsia="Times New Roman"/>
          <w:i/>
          <w:iCs/>
        </w:rPr>
        <w:t>Mertens-Fonck</w:t>
      </w:r>
      <w:proofErr w:type="spellEnd"/>
      <w:r w:rsidRPr="002F5A7C">
        <w:rPr>
          <w:rFonts w:eastAsia="Times New Roman"/>
        </w:rPr>
        <w:t xml:space="preserve">. Ed. </w:t>
      </w:r>
      <w:proofErr w:type="gramStart"/>
      <w:r w:rsidRPr="002F5A7C">
        <w:rPr>
          <w:rFonts w:eastAsia="Times New Roman"/>
        </w:rPr>
        <w:t>Juliette  Dor</w:t>
      </w:r>
      <w:proofErr w:type="gramEnd"/>
      <w:r w:rsidRPr="002F5A7C">
        <w:rPr>
          <w:rFonts w:eastAsia="Times New Roman"/>
        </w:rPr>
        <w:t xml:space="preserve">. Liège: L3: Liège Lang. and Lit., Dept. </w:t>
      </w:r>
      <w:proofErr w:type="spellStart"/>
      <w:r w:rsidRPr="002F5A7C">
        <w:rPr>
          <w:rFonts w:eastAsia="Times New Roman"/>
        </w:rPr>
        <w:t>d’anglais</w:t>
      </w:r>
      <w:proofErr w:type="spellEnd"/>
      <w:r w:rsidRPr="002F5A7C">
        <w:rPr>
          <w:rFonts w:eastAsia="Times New Roman"/>
        </w:rPr>
        <w:t>, Univ. de Liège, 1992. 167–177. Print.</w:t>
      </w:r>
    </w:p>
    <w:p w14:paraId="4E74DEF4"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Hoffman, Donald L. “Malory’s Tragic Merlin.” </w:t>
      </w:r>
      <w:r w:rsidRPr="002F5A7C">
        <w:rPr>
          <w:rFonts w:eastAsia="Times New Roman"/>
          <w:i/>
          <w:iCs/>
        </w:rPr>
        <w:t>Merlin: A Casebook</w:t>
      </w:r>
      <w:r w:rsidRPr="002F5A7C">
        <w:rPr>
          <w:rFonts w:eastAsia="Times New Roman"/>
        </w:rPr>
        <w:t xml:space="preserve">. Ed. Peter H. Goodrich and Raymond H. Thompson. New York, NY: Routledge, 2003. 332–341. Print. </w:t>
      </w:r>
    </w:p>
    <w:p w14:paraId="749A07C9"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Holley, Linda </w:t>
      </w:r>
      <w:proofErr w:type="spellStart"/>
      <w:r w:rsidRPr="002F5A7C">
        <w:rPr>
          <w:rFonts w:eastAsia="Times New Roman"/>
        </w:rPr>
        <w:t>Tarte</w:t>
      </w:r>
      <w:proofErr w:type="spellEnd"/>
      <w:r w:rsidRPr="002F5A7C">
        <w:rPr>
          <w:rFonts w:eastAsia="Times New Roman"/>
        </w:rPr>
        <w:t xml:space="preserve">. </w:t>
      </w:r>
      <w:r w:rsidRPr="002F5A7C">
        <w:rPr>
          <w:rFonts w:eastAsia="Times New Roman"/>
          <w:i/>
          <w:iCs/>
        </w:rPr>
        <w:t>Chaucer’s Measuring Eye</w:t>
      </w:r>
      <w:r w:rsidRPr="002F5A7C">
        <w:rPr>
          <w:rFonts w:eastAsia="Times New Roman"/>
        </w:rPr>
        <w:t>. Houston, Tex.: Rice University Press, 1990. Print.</w:t>
      </w:r>
    </w:p>
    <w:p w14:paraId="54299F5B"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Kay, </w:t>
      </w:r>
      <w:proofErr w:type="spellStart"/>
      <w:r w:rsidRPr="002F5A7C">
        <w:rPr>
          <w:rFonts w:eastAsia="Times New Roman"/>
        </w:rPr>
        <w:t>Karyn</w:t>
      </w:r>
      <w:proofErr w:type="spellEnd"/>
      <w:r w:rsidRPr="002F5A7C">
        <w:rPr>
          <w:rFonts w:eastAsia="Times New Roman"/>
        </w:rPr>
        <w:t xml:space="preserve">, and Gerald Peary. </w:t>
      </w:r>
      <w:r w:rsidRPr="002F5A7C">
        <w:rPr>
          <w:rFonts w:eastAsia="Times New Roman"/>
          <w:i/>
          <w:iCs/>
        </w:rPr>
        <w:t>Women and the Cinema: A Critical Anthology</w:t>
      </w:r>
      <w:r w:rsidRPr="002F5A7C">
        <w:rPr>
          <w:rFonts w:eastAsia="Times New Roman"/>
        </w:rPr>
        <w:t>. New York: Dutton, 1977. Print.</w:t>
      </w:r>
    </w:p>
    <w:p w14:paraId="5BD35148"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Kennedy, Beverly. “The Re-Emergence of Tragedy in Late Medieval England: Sir Thomas Malory’s Morte Darthur.” </w:t>
      </w:r>
      <w:r w:rsidRPr="002F5A7C">
        <w:rPr>
          <w:rFonts w:eastAsia="Times New Roman"/>
          <w:i/>
          <w:iCs/>
        </w:rPr>
        <w:t>The Existential Coordinates of the Human Condition: Poetic-Epic-Tragic: The Literary Genre</w:t>
      </w:r>
      <w:r w:rsidRPr="002F5A7C">
        <w:rPr>
          <w:rFonts w:eastAsia="Times New Roman"/>
        </w:rPr>
        <w:t xml:space="preserve">. Ed. Anna-Teresa </w:t>
      </w:r>
      <w:proofErr w:type="spellStart"/>
      <w:r w:rsidRPr="002F5A7C">
        <w:rPr>
          <w:rFonts w:eastAsia="Times New Roman"/>
        </w:rPr>
        <w:t>Tymieniecka</w:t>
      </w:r>
      <w:proofErr w:type="spellEnd"/>
      <w:r w:rsidRPr="002F5A7C">
        <w:rPr>
          <w:rFonts w:eastAsia="Times New Roman"/>
        </w:rPr>
        <w:t xml:space="preserve">. Dordrecht: </w:t>
      </w:r>
      <w:proofErr w:type="spellStart"/>
      <w:r w:rsidRPr="002F5A7C">
        <w:rPr>
          <w:rFonts w:eastAsia="Times New Roman"/>
        </w:rPr>
        <w:t>Reidel</w:t>
      </w:r>
      <w:proofErr w:type="spellEnd"/>
      <w:r w:rsidRPr="002F5A7C">
        <w:rPr>
          <w:rFonts w:eastAsia="Times New Roman"/>
        </w:rPr>
        <w:t>, 1984. 363–378. Print.</w:t>
      </w:r>
    </w:p>
    <w:p w14:paraId="54E20E39"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Lambert, Mark. </w:t>
      </w:r>
      <w:r w:rsidRPr="002F5A7C">
        <w:rPr>
          <w:rFonts w:eastAsia="Times New Roman"/>
          <w:i/>
          <w:iCs/>
        </w:rPr>
        <w:t>Malory: Style and Vision in Le Morte Darthur</w:t>
      </w:r>
      <w:r w:rsidRPr="002F5A7C">
        <w:rPr>
          <w:rFonts w:eastAsia="Times New Roman"/>
        </w:rPr>
        <w:t>. New Haven: Yale University Press, 1975. Print.</w:t>
      </w:r>
    </w:p>
    <w:p w14:paraId="7F487D17"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Lindberg, David C. “Lines of Influence in Thirteenth-Century Optics: Bacon, </w:t>
      </w:r>
      <w:proofErr w:type="spellStart"/>
      <w:r w:rsidRPr="002F5A7C">
        <w:rPr>
          <w:rFonts w:eastAsia="Times New Roman"/>
        </w:rPr>
        <w:t>Witelo</w:t>
      </w:r>
      <w:proofErr w:type="spellEnd"/>
      <w:r w:rsidRPr="002F5A7C">
        <w:rPr>
          <w:rFonts w:eastAsia="Times New Roman"/>
        </w:rPr>
        <w:t xml:space="preserve">, and </w:t>
      </w:r>
      <w:proofErr w:type="spellStart"/>
      <w:r w:rsidRPr="002F5A7C">
        <w:rPr>
          <w:rFonts w:eastAsia="Times New Roman"/>
        </w:rPr>
        <w:t>Pecham</w:t>
      </w:r>
      <w:proofErr w:type="spellEnd"/>
      <w:r w:rsidRPr="002F5A7C">
        <w:rPr>
          <w:rFonts w:eastAsia="Times New Roman"/>
        </w:rPr>
        <w:t xml:space="preserve">.” </w:t>
      </w:r>
      <w:r w:rsidRPr="002F5A7C">
        <w:rPr>
          <w:rFonts w:eastAsia="Times New Roman"/>
          <w:i/>
          <w:iCs/>
        </w:rPr>
        <w:t>Speculum: A Journal of Medieval Studies</w:t>
      </w:r>
      <w:r w:rsidRPr="002F5A7C">
        <w:rPr>
          <w:rFonts w:eastAsia="Times New Roman"/>
        </w:rPr>
        <w:t xml:space="preserve"> 46.1 (1971): 66. Print.</w:t>
      </w:r>
    </w:p>
    <w:p w14:paraId="1AF3DA23"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Lindberg, David C. </w:t>
      </w:r>
      <w:r w:rsidRPr="002F5A7C">
        <w:rPr>
          <w:rFonts w:eastAsia="Times New Roman"/>
          <w:i/>
          <w:iCs/>
        </w:rPr>
        <w:t>Theories of Vision from Al-</w:t>
      </w:r>
      <w:proofErr w:type="spellStart"/>
      <w:r w:rsidRPr="002F5A7C">
        <w:rPr>
          <w:rFonts w:eastAsia="Times New Roman"/>
          <w:i/>
          <w:iCs/>
        </w:rPr>
        <w:t>Kindi</w:t>
      </w:r>
      <w:proofErr w:type="spellEnd"/>
      <w:r w:rsidRPr="002F5A7C">
        <w:rPr>
          <w:rFonts w:eastAsia="Times New Roman"/>
          <w:i/>
          <w:iCs/>
        </w:rPr>
        <w:t xml:space="preserve"> to Kepler</w:t>
      </w:r>
      <w:r w:rsidRPr="002F5A7C">
        <w:rPr>
          <w:rFonts w:eastAsia="Times New Roman"/>
        </w:rPr>
        <w:t>. Chicago: University of Chicago Press, 1976. Print.</w:t>
      </w:r>
    </w:p>
    <w:p w14:paraId="18043115" w14:textId="77777777" w:rsidR="00686028" w:rsidRPr="002F5A7C" w:rsidRDefault="00686028" w:rsidP="002B186B">
      <w:pPr>
        <w:spacing w:line="480" w:lineRule="auto"/>
        <w:ind w:left="720" w:hanging="720"/>
        <w:rPr>
          <w:rFonts w:eastAsia="Times New Roman"/>
        </w:rPr>
      </w:pPr>
      <w:proofErr w:type="spellStart"/>
      <w:r w:rsidRPr="002F5A7C">
        <w:rPr>
          <w:rFonts w:eastAsia="Times New Roman"/>
        </w:rPr>
        <w:lastRenderedPageBreak/>
        <w:t>Machamer</w:t>
      </w:r>
      <w:proofErr w:type="spellEnd"/>
      <w:r w:rsidRPr="002F5A7C">
        <w:rPr>
          <w:rFonts w:eastAsia="Times New Roman"/>
        </w:rPr>
        <w:t xml:space="preserve">, Peter K, and Robert G Turnbull. </w:t>
      </w:r>
      <w:r w:rsidRPr="002F5A7C">
        <w:rPr>
          <w:rFonts w:eastAsia="Times New Roman"/>
          <w:i/>
          <w:iCs/>
        </w:rPr>
        <w:t>Studies in Perception: Interrelations in the History of Philosophy and Science</w:t>
      </w:r>
      <w:r w:rsidRPr="002F5A7C">
        <w:rPr>
          <w:rFonts w:eastAsia="Times New Roman"/>
        </w:rPr>
        <w:t>. Columbus: Ohio State University Press, 1978. Print.</w:t>
      </w:r>
    </w:p>
    <w:p w14:paraId="73DBA73A"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Malory, Thomas. </w:t>
      </w:r>
      <w:r w:rsidRPr="002F5A7C">
        <w:rPr>
          <w:rFonts w:eastAsia="Times New Roman"/>
          <w:i/>
          <w:iCs/>
        </w:rPr>
        <w:t>Le Morte Darthur</w:t>
      </w:r>
      <w:r w:rsidRPr="002F5A7C">
        <w:rPr>
          <w:rFonts w:eastAsia="Times New Roman"/>
          <w:iCs/>
        </w:rPr>
        <w:t>, ed. P.J.C. Field</w:t>
      </w:r>
      <w:r w:rsidRPr="002F5A7C">
        <w:rPr>
          <w:rFonts w:eastAsia="Times New Roman"/>
        </w:rPr>
        <w:t xml:space="preserve">. Cambridge: D.S. Brewer, 2013. Print. </w:t>
      </w:r>
    </w:p>
    <w:p w14:paraId="4CAB498A"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Mann, Jill. </w:t>
      </w:r>
      <w:r w:rsidRPr="002F5A7C">
        <w:rPr>
          <w:rFonts w:eastAsia="Times New Roman"/>
          <w:i/>
          <w:iCs/>
        </w:rPr>
        <w:t>Life in Words: Essays on Chaucer, the Gawain-Poet, and Malory</w:t>
      </w:r>
      <w:r w:rsidRPr="002F5A7C">
        <w:rPr>
          <w:rFonts w:eastAsia="Times New Roman"/>
        </w:rPr>
        <w:t xml:space="preserve">. Toronto, ON, CAN: University of Toronto Press, 2014. </w:t>
      </w:r>
      <w:proofErr w:type="spellStart"/>
      <w:proofErr w:type="gramStart"/>
      <w:r w:rsidRPr="002F5A7C">
        <w:rPr>
          <w:rFonts w:eastAsia="Times New Roman"/>
          <w:i/>
          <w:iCs/>
        </w:rPr>
        <w:t>ebrary</w:t>
      </w:r>
      <w:proofErr w:type="spellEnd"/>
      <w:proofErr w:type="gramEnd"/>
      <w:r w:rsidRPr="002F5A7C">
        <w:rPr>
          <w:rFonts w:eastAsia="Times New Roman"/>
        </w:rPr>
        <w:t>. Web. 3 Apr. 2015.</w:t>
      </w:r>
    </w:p>
    <w:p w14:paraId="62311B82"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Martin, Molly. </w:t>
      </w:r>
      <w:r w:rsidRPr="002F5A7C">
        <w:rPr>
          <w:rFonts w:eastAsia="Times New Roman"/>
          <w:i/>
          <w:iCs/>
        </w:rPr>
        <w:t>Vision and Gender in Malory’s Morte Darthur</w:t>
      </w:r>
      <w:r w:rsidRPr="002F5A7C">
        <w:rPr>
          <w:rFonts w:eastAsia="Times New Roman"/>
        </w:rPr>
        <w:t>. Cambridge: D.S. Brewer, 2010. Print.</w:t>
      </w:r>
    </w:p>
    <w:p w14:paraId="4F1641CF" w14:textId="68E6EF4E" w:rsidR="00F61C10" w:rsidRPr="002F5A7C" w:rsidRDefault="00F61C10" w:rsidP="002B186B">
      <w:pPr>
        <w:spacing w:line="480" w:lineRule="auto"/>
        <w:ind w:left="720" w:hanging="720"/>
        <w:rPr>
          <w:rFonts w:eastAsia="Times New Roman"/>
        </w:rPr>
      </w:pPr>
      <w:r w:rsidRPr="002F5A7C">
        <w:rPr>
          <w:rFonts w:eastAsia="Times New Roman"/>
        </w:rPr>
        <w:t xml:space="preserve">Montrose, Louis. “Professing the Renaissance: The Poetics ad Politics of Culture.” </w:t>
      </w:r>
      <w:r w:rsidRPr="002F5A7C">
        <w:rPr>
          <w:rFonts w:eastAsia="Times New Roman"/>
          <w:i/>
        </w:rPr>
        <w:t>Literary Theory: An Anthology, 2</w:t>
      </w:r>
      <w:r w:rsidRPr="002F5A7C">
        <w:rPr>
          <w:rFonts w:eastAsia="Times New Roman"/>
          <w:i/>
          <w:vertAlign w:val="superscript"/>
        </w:rPr>
        <w:t>nd</w:t>
      </w:r>
      <w:r w:rsidRPr="002F5A7C">
        <w:rPr>
          <w:rFonts w:eastAsia="Times New Roman"/>
          <w:i/>
        </w:rPr>
        <w:t xml:space="preserve"> ed. </w:t>
      </w:r>
      <w:r w:rsidRPr="002F5A7C">
        <w:rPr>
          <w:rFonts w:eastAsia="Times New Roman"/>
        </w:rPr>
        <w:t xml:space="preserve">Ed. Julie </w:t>
      </w:r>
      <w:proofErr w:type="spellStart"/>
      <w:r w:rsidRPr="002F5A7C">
        <w:rPr>
          <w:rFonts w:eastAsia="Times New Roman"/>
        </w:rPr>
        <w:t>Rivkin</w:t>
      </w:r>
      <w:proofErr w:type="spellEnd"/>
      <w:r w:rsidRPr="002F5A7C">
        <w:rPr>
          <w:rFonts w:eastAsia="Times New Roman"/>
        </w:rPr>
        <w:t xml:space="preserve"> and Michael Ryan. Malden: Blackwell, 2004. 584-591. Print.</w:t>
      </w:r>
    </w:p>
    <w:p w14:paraId="53749DAE" w14:textId="5EBD0614" w:rsidR="00E96F08" w:rsidRPr="002F5A7C" w:rsidRDefault="00E96F08" w:rsidP="002B186B">
      <w:pPr>
        <w:spacing w:line="480" w:lineRule="auto"/>
        <w:ind w:left="720" w:hanging="720"/>
        <w:rPr>
          <w:rFonts w:eastAsia="Times New Roman"/>
        </w:rPr>
      </w:pPr>
      <w:proofErr w:type="spellStart"/>
      <w:r w:rsidRPr="002F5A7C">
        <w:rPr>
          <w:rFonts w:eastAsia="Times New Roman"/>
        </w:rPr>
        <w:t>Mulvey</w:t>
      </w:r>
      <w:proofErr w:type="spellEnd"/>
      <w:r w:rsidRPr="002F5A7C">
        <w:rPr>
          <w:rFonts w:eastAsia="Times New Roman"/>
        </w:rPr>
        <w:t xml:space="preserve">, Laura. “Visual Pleasure and Narrative Cinema.” </w:t>
      </w:r>
      <w:r w:rsidRPr="002F5A7C">
        <w:rPr>
          <w:rFonts w:eastAsia="Times New Roman"/>
          <w:i/>
        </w:rPr>
        <w:t>Screen</w:t>
      </w:r>
      <w:r w:rsidRPr="002F5A7C">
        <w:rPr>
          <w:rFonts w:eastAsia="Times New Roman"/>
        </w:rPr>
        <w:t xml:space="preserve"> 16.3 (1975): 6-18. Print.</w:t>
      </w:r>
    </w:p>
    <w:p w14:paraId="10F9250B"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Nelson, Robert S. </w:t>
      </w:r>
      <w:proofErr w:type="spellStart"/>
      <w:r w:rsidRPr="002F5A7C">
        <w:rPr>
          <w:rFonts w:eastAsia="Times New Roman"/>
          <w:i/>
          <w:iCs/>
        </w:rPr>
        <w:t>Visuality</w:t>
      </w:r>
      <w:proofErr w:type="spellEnd"/>
      <w:r w:rsidRPr="002F5A7C">
        <w:rPr>
          <w:rFonts w:eastAsia="Times New Roman"/>
          <w:i/>
          <w:iCs/>
        </w:rPr>
        <w:t xml:space="preserve"> before and beyond the Renaissance: Seeing as Others Saw</w:t>
      </w:r>
      <w:r w:rsidRPr="002F5A7C">
        <w:rPr>
          <w:rFonts w:eastAsia="Times New Roman"/>
        </w:rPr>
        <w:t>. Cambridge, U.K.; New York, NY, USA: Cambridge University Press, 2000. Print.</w:t>
      </w:r>
    </w:p>
    <w:p w14:paraId="410ED02B"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Nichols, Stephen G, Andreas </w:t>
      </w:r>
      <w:proofErr w:type="spellStart"/>
      <w:r w:rsidRPr="002F5A7C">
        <w:rPr>
          <w:rFonts w:eastAsia="Times New Roman"/>
        </w:rPr>
        <w:t>Kablitz</w:t>
      </w:r>
      <w:proofErr w:type="spellEnd"/>
      <w:r w:rsidRPr="002F5A7C">
        <w:rPr>
          <w:rFonts w:eastAsia="Times New Roman"/>
        </w:rPr>
        <w:t xml:space="preserve">, and Alison Calhoun. </w:t>
      </w:r>
      <w:r w:rsidRPr="002F5A7C">
        <w:rPr>
          <w:rFonts w:eastAsia="Times New Roman"/>
          <w:i/>
          <w:iCs/>
        </w:rPr>
        <w:t xml:space="preserve">Rethinking the Medieval Senses: Heritage, Fascinations, </w:t>
      </w:r>
      <w:proofErr w:type="gramStart"/>
      <w:r w:rsidRPr="002F5A7C">
        <w:rPr>
          <w:rFonts w:eastAsia="Times New Roman"/>
          <w:i/>
          <w:iCs/>
        </w:rPr>
        <w:t>Frames</w:t>
      </w:r>
      <w:proofErr w:type="gramEnd"/>
      <w:r w:rsidRPr="002F5A7C">
        <w:rPr>
          <w:rFonts w:eastAsia="Times New Roman"/>
        </w:rPr>
        <w:t>. Baltimore: Johns Hopkins University Press, 2008. Print.</w:t>
      </w:r>
    </w:p>
    <w:p w14:paraId="7054CBCC"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Norris, Ralph. “The Tragedy of </w:t>
      </w:r>
      <w:proofErr w:type="spellStart"/>
      <w:r w:rsidRPr="002F5A7C">
        <w:rPr>
          <w:rFonts w:eastAsia="Times New Roman"/>
        </w:rPr>
        <w:t>Balin</w:t>
      </w:r>
      <w:proofErr w:type="spellEnd"/>
      <w:r w:rsidRPr="002F5A7C">
        <w:rPr>
          <w:rFonts w:eastAsia="Times New Roman"/>
        </w:rPr>
        <w:t xml:space="preserve">: Malory’s Use of the </w:t>
      </w:r>
      <w:proofErr w:type="spellStart"/>
      <w:r w:rsidRPr="002F5A7C">
        <w:rPr>
          <w:rFonts w:eastAsia="Times New Roman"/>
        </w:rPr>
        <w:t>Balin</w:t>
      </w:r>
      <w:proofErr w:type="spellEnd"/>
      <w:r w:rsidRPr="002F5A7C">
        <w:rPr>
          <w:rFonts w:eastAsia="Times New Roman"/>
        </w:rPr>
        <w:t xml:space="preserve"> Story in the Morte Darthur.” </w:t>
      </w:r>
      <w:proofErr w:type="spellStart"/>
      <w:r w:rsidRPr="002F5A7C">
        <w:rPr>
          <w:rFonts w:eastAsia="Times New Roman"/>
          <w:i/>
          <w:iCs/>
        </w:rPr>
        <w:t>Arthuriana</w:t>
      </w:r>
      <w:proofErr w:type="spellEnd"/>
      <w:r w:rsidRPr="002F5A7C">
        <w:rPr>
          <w:rFonts w:eastAsia="Times New Roman"/>
        </w:rPr>
        <w:t xml:space="preserve"> 9.3 (1999): 52–67. Print.</w:t>
      </w:r>
    </w:p>
    <w:p w14:paraId="001B4A93" w14:textId="77777777" w:rsidR="00686028" w:rsidRPr="002F5A7C" w:rsidRDefault="00686028" w:rsidP="002B186B">
      <w:pPr>
        <w:spacing w:line="480" w:lineRule="auto"/>
        <w:ind w:left="720" w:hanging="720"/>
        <w:rPr>
          <w:rFonts w:eastAsia="Times New Roman"/>
        </w:rPr>
      </w:pPr>
      <w:r w:rsidRPr="002F5A7C">
        <w:rPr>
          <w:rFonts w:eastAsia="Times New Roman"/>
        </w:rPr>
        <w:t xml:space="preserve">Olsen, Corey. “Adulterated Love: The Tragedy of Malory’s Lancelot and Guinevere.” </w:t>
      </w:r>
      <w:r w:rsidRPr="002F5A7C">
        <w:rPr>
          <w:rFonts w:eastAsia="Times New Roman"/>
          <w:i/>
          <w:iCs/>
        </w:rPr>
        <w:t>Malory and Christianity: Essays on Sir Thomas Malory’s Morte Darthur</w:t>
      </w:r>
      <w:r w:rsidRPr="002F5A7C">
        <w:rPr>
          <w:rFonts w:eastAsia="Times New Roman"/>
        </w:rPr>
        <w:t xml:space="preserve">. Ed. D. Thomas, Jr. Hanks and Janet </w:t>
      </w:r>
      <w:proofErr w:type="spellStart"/>
      <w:r w:rsidRPr="002F5A7C">
        <w:rPr>
          <w:rFonts w:eastAsia="Times New Roman"/>
        </w:rPr>
        <w:t>Jesmok</w:t>
      </w:r>
      <w:proofErr w:type="spellEnd"/>
      <w:r w:rsidRPr="002F5A7C">
        <w:rPr>
          <w:rFonts w:eastAsia="Times New Roman"/>
        </w:rPr>
        <w:t xml:space="preserve">. Kalamazoo: Medieval Institute, Western Michigan University, 2013. 29–55. Print. </w:t>
      </w:r>
    </w:p>
    <w:p w14:paraId="465FD283" w14:textId="7B64494F" w:rsidR="001C45DA" w:rsidRPr="001C45DA" w:rsidRDefault="001C45DA" w:rsidP="002B186B">
      <w:pPr>
        <w:spacing w:line="480" w:lineRule="auto"/>
        <w:ind w:left="720" w:hanging="720"/>
        <w:rPr>
          <w:rFonts w:eastAsia="Times New Roman"/>
        </w:rPr>
      </w:pPr>
      <w:proofErr w:type="spellStart"/>
      <w:r w:rsidRPr="002F5A7C">
        <w:rPr>
          <w:rFonts w:eastAsia="Times New Roman"/>
        </w:rPr>
        <w:t>Parvini</w:t>
      </w:r>
      <w:proofErr w:type="spellEnd"/>
      <w:r w:rsidRPr="002F5A7C">
        <w:rPr>
          <w:rFonts w:eastAsia="Times New Roman"/>
        </w:rPr>
        <w:t xml:space="preserve">, </w:t>
      </w:r>
      <w:proofErr w:type="spellStart"/>
      <w:r w:rsidRPr="002F5A7C">
        <w:rPr>
          <w:rFonts w:eastAsia="Times New Roman"/>
        </w:rPr>
        <w:t>Neema</w:t>
      </w:r>
      <w:proofErr w:type="spellEnd"/>
      <w:r w:rsidRPr="002F5A7C">
        <w:rPr>
          <w:rFonts w:eastAsia="Times New Roman"/>
        </w:rPr>
        <w:t xml:space="preserve">. “New Historicism.” </w:t>
      </w:r>
      <w:r w:rsidRPr="002F5A7C">
        <w:rPr>
          <w:rFonts w:eastAsia="Times New Roman"/>
          <w:i/>
        </w:rPr>
        <w:t>Shakespeare and Contemporary Theory: New Historicism and Cultural Materialism.</w:t>
      </w:r>
      <w:r w:rsidRPr="002F5A7C">
        <w:rPr>
          <w:rFonts w:eastAsia="Times New Roman"/>
        </w:rPr>
        <w:t xml:space="preserve"> London: Bloomsbury, 2012. 97-121. Print.</w:t>
      </w:r>
    </w:p>
    <w:p w14:paraId="32088773" w14:textId="77777777" w:rsidR="00686028" w:rsidRPr="0072744E" w:rsidRDefault="00686028" w:rsidP="002B186B">
      <w:pPr>
        <w:spacing w:line="480" w:lineRule="auto"/>
        <w:ind w:left="720" w:hanging="720"/>
        <w:rPr>
          <w:rFonts w:eastAsia="Times New Roman"/>
        </w:rPr>
      </w:pPr>
      <w:r w:rsidRPr="0072744E">
        <w:rPr>
          <w:rFonts w:eastAsia="Times New Roman"/>
        </w:rPr>
        <w:lastRenderedPageBreak/>
        <w:t xml:space="preserve">Pickering, James D. “Choice and Circumstance in Chaucer and Malory.” </w:t>
      </w:r>
      <w:r w:rsidRPr="0072744E">
        <w:rPr>
          <w:rFonts w:eastAsia="Times New Roman"/>
          <w:i/>
          <w:iCs/>
        </w:rPr>
        <w:t>Fifteenth-Century Studies</w:t>
      </w:r>
      <w:r w:rsidRPr="0072744E">
        <w:rPr>
          <w:rFonts w:eastAsia="Times New Roman"/>
        </w:rPr>
        <w:t xml:space="preserve"> 14 (1988): 151–159. Print.</w:t>
      </w:r>
    </w:p>
    <w:p w14:paraId="0C411A67"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 “Malory’s Morte Darthur: The Shape of Tragedy.” </w:t>
      </w:r>
      <w:r w:rsidRPr="0072744E">
        <w:rPr>
          <w:rFonts w:eastAsia="Times New Roman"/>
          <w:i/>
          <w:iCs/>
        </w:rPr>
        <w:t>Fifteenth-Century Studies</w:t>
      </w:r>
      <w:r w:rsidRPr="0072744E">
        <w:rPr>
          <w:rFonts w:eastAsia="Times New Roman"/>
        </w:rPr>
        <w:t xml:space="preserve"> 7 (1983): 307–328. Print.</w:t>
      </w:r>
    </w:p>
    <w:p w14:paraId="389E9831"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Richardson, W. “A Tragedy </w:t>
      </w:r>
      <w:proofErr w:type="gramStart"/>
      <w:r w:rsidRPr="0072744E">
        <w:rPr>
          <w:rFonts w:eastAsia="Times New Roman"/>
        </w:rPr>
        <w:t>Within</w:t>
      </w:r>
      <w:proofErr w:type="gramEnd"/>
      <w:r w:rsidRPr="0072744E">
        <w:rPr>
          <w:rFonts w:eastAsia="Times New Roman"/>
        </w:rPr>
        <w:t xml:space="preserve"> a Tragedy: Malory’s Use of the Tale of </w:t>
      </w:r>
      <w:proofErr w:type="spellStart"/>
      <w:r w:rsidRPr="0072744E">
        <w:rPr>
          <w:rFonts w:eastAsia="Times New Roman"/>
        </w:rPr>
        <w:t>Balin</w:t>
      </w:r>
      <w:proofErr w:type="spellEnd"/>
      <w:r w:rsidRPr="0072744E">
        <w:rPr>
          <w:rFonts w:eastAsia="Times New Roman"/>
        </w:rPr>
        <w:t xml:space="preserve"> as a Thematic Analogue.” </w:t>
      </w:r>
      <w:r w:rsidRPr="0072744E">
        <w:rPr>
          <w:rFonts w:eastAsia="Times New Roman"/>
          <w:i/>
          <w:iCs/>
        </w:rPr>
        <w:t>Arlington Quarterly</w:t>
      </w:r>
      <w:r w:rsidRPr="0072744E">
        <w:rPr>
          <w:rFonts w:eastAsia="Times New Roman"/>
        </w:rPr>
        <w:t xml:space="preserve"> 3.1 (1971): 61–71. Print.</w:t>
      </w:r>
    </w:p>
    <w:p w14:paraId="3741612C"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Campbell, Emma and Robert Mills, eds. </w:t>
      </w:r>
      <w:r w:rsidRPr="0072744E">
        <w:rPr>
          <w:rFonts w:eastAsia="Times New Roman"/>
          <w:i/>
          <w:iCs/>
        </w:rPr>
        <w:t>Troubled Vision: Gender, Sexuality, and Sight in Medieval Text and Image</w:t>
      </w:r>
      <w:r w:rsidRPr="0072744E">
        <w:rPr>
          <w:rFonts w:eastAsia="Times New Roman"/>
        </w:rPr>
        <w:t>. New York: Palgrave Macmillan, 2004. Print.</w:t>
      </w:r>
    </w:p>
    <w:p w14:paraId="6239B8DD" w14:textId="77777777" w:rsidR="00686028" w:rsidRPr="0072744E" w:rsidRDefault="00686028" w:rsidP="002B186B">
      <w:pPr>
        <w:spacing w:line="480" w:lineRule="auto"/>
        <w:ind w:left="720" w:hanging="720"/>
        <w:rPr>
          <w:rFonts w:eastAsia="Times New Roman"/>
        </w:rPr>
      </w:pPr>
      <w:r w:rsidRPr="0072744E">
        <w:rPr>
          <w:rFonts w:eastAsia="Times New Roman"/>
        </w:rPr>
        <w:t>Smith, A. Mark. “</w:t>
      </w:r>
      <w:proofErr w:type="spellStart"/>
      <w:r w:rsidRPr="0072744E">
        <w:rPr>
          <w:rFonts w:eastAsia="Times New Roman"/>
        </w:rPr>
        <w:t>Alhacen</w:t>
      </w:r>
      <w:proofErr w:type="spellEnd"/>
      <w:r w:rsidRPr="0072744E">
        <w:rPr>
          <w:rFonts w:eastAsia="Times New Roman"/>
        </w:rPr>
        <w:t xml:space="preserve"> on Image-Formation and Distortion in Mirrors. A Critical Edition, with English Translation and Commentary, of Book 6 of </w:t>
      </w:r>
      <w:proofErr w:type="spellStart"/>
      <w:r w:rsidRPr="0072744E">
        <w:rPr>
          <w:rFonts w:eastAsia="Times New Roman"/>
        </w:rPr>
        <w:t>Alhacen’s</w:t>
      </w:r>
      <w:proofErr w:type="spellEnd"/>
      <w:r w:rsidRPr="0072744E">
        <w:rPr>
          <w:rFonts w:eastAsia="Times New Roman"/>
        </w:rPr>
        <w:t xml:space="preserve"> </w:t>
      </w:r>
      <w:r w:rsidRPr="0072744E">
        <w:rPr>
          <w:rFonts w:eastAsia="Times New Roman"/>
          <w:i/>
        </w:rPr>
        <w:t xml:space="preserve">De </w:t>
      </w:r>
      <w:proofErr w:type="spellStart"/>
      <w:r w:rsidRPr="0072744E">
        <w:rPr>
          <w:rFonts w:eastAsia="Times New Roman"/>
          <w:i/>
        </w:rPr>
        <w:t>Aspectibus</w:t>
      </w:r>
      <w:proofErr w:type="spellEnd"/>
      <w:r w:rsidRPr="0072744E">
        <w:rPr>
          <w:rFonts w:eastAsia="Times New Roman"/>
        </w:rPr>
        <w:t xml:space="preserve">, the Medieval Latin Version of Ibn Al-Haytham’s </w:t>
      </w:r>
      <w:proofErr w:type="spellStart"/>
      <w:r w:rsidRPr="0072744E">
        <w:rPr>
          <w:rFonts w:eastAsia="Times New Roman"/>
          <w:i/>
        </w:rPr>
        <w:t>Kitāb</w:t>
      </w:r>
      <w:proofErr w:type="spellEnd"/>
      <w:r w:rsidRPr="0072744E">
        <w:rPr>
          <w:rFonts w:eastAsia="Times New Roman"/>
          <w:i/>
        </w:rPr>
        <w:t xml:space="preserve"> Al-</w:t>
      </w:r>
      <w:proofErr w:type="spellStart"/>
      <w:r w:rsidRPr="0072744E">
        <w:rPr>
          <w:rFonts w:eastAsia="Times New Roman"/>
          <w:i/>
        </w:rPr>
        <w:t>Manāzir</w:t>
      </w:r>
      <w:proofErr w:type="spellEnd"/>
      <w:r w:rsidRPr="0072744E">
        <w:rPr>
          <w:rFonts w:eastAsia="Times New Roman"/>
        </w:rPr>
        <w:t xml:space="preserve">. Volume One: Introduction and Latin Text.” </w:t>
      </w:r>
      <w:r w:rsidRPr="0072744E">
        <w:rPr>
          <w:rFonts w:eastAsia="Times New Roman"/>
          <w:i/>
          <w:iCs/>
        </w:rPr>
        <w:t>Transactions of the American Philosophical Society</w:t>
      </w:r>
      <w:r w:rsidRPr="0072744E">
        <w:rPr>
          <w:rFonts w:eastAsia="Times New Roman"/>
        </w:rPr>
        <w:t xml:space="preserve"> 98.1 (2008): </w:t>
      </w:r>
      <w:proofErr w:type="spellStart"/>
      <w:r w:rsidRPr="0072744E">
        <w:rPr>
          <w:rFonts w:eastAsia="Times New Roman"/>
        </w:rPr>
        <w:t>i</w:t>
      </w:r>
      <w:proofErr w:type="spellEnd"/>
      <w:r w:rsidRPr="0072744E">
        <w:rPr>
          <w:rFonts w:eastAsia="Times New Roman"/>
        </w:rPr>
        <w:t>–lii, 1–154. Print.</w:t>
      </w:r>
    </w:p>
    <w:p w14:paraId="5B75D4FE"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 “Perception.” </w:t>
      </w:r>
      <w:r w:rsidRPr="0072744E">
        <w:rPr>
          <w:rFonts w:eastAsia="Times New Roman"/>
          <w:i/>
          <w:iCs/>
        </w:rPr>
        <w:t xml:space="preserve">The Cambridge History of Medieval Philosophy. </w:t>
      </w:r>
      <w:r w:rsidRPr="0072744E">
        <w:rPr>
          <w:rFonts w:eastAsia="Times New Roman"/>
          <w:iCs/>
        </w:rPr>
        <w:t xml:space="preserve">Ed. Robert </w:t>
      </w:r>
      <w:proofErr w:type="spellStart"/>
      <w:r w:rsidRPr="0072744E">
        <w:rPr>
          <w:rFonts w:eastAsia="Times New Roman"/>
          <w:iCs/>
        </w:rPr>
        <w:t>Pasnau</w:t>
      </w:r>
      <w:proofErr w:type="spellEnd"/>
      <w:r w:rsidRPr="0072744E">
        <w:rPr>
          <w:rFonts w:eastAsia="Times New Roman"/>
        </w:rPr>
        <w:t>. Cambridge: Cambridge University Press, 2010. 334–345. Print.</w:t>
      </w:r>
    </w:p>
    <w:p w14:paraId="527904E4"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Spearing, A. C. </w:t>
      </w:r>
      <w:r w:rsidRPr="0072744E">
        <w:rPr>
          <w:rFonts w:eastAsia="Times New Roman"/>
          <w:i/>
          <w:iCs/>
        </w:rPr>
        <w:t>The Medieval Poet as Voyeur: Looking and Listening in Medieval Love-Narratives</w:t>
      </w:r>
      <w:r w:rsidRPr="0072744E">
        <w:rPr>
          <w:rFonts w:eastAsia="Times New Roman"/>
        </w:rPr>
        <w:t>. Cambridge: Cambridge University Press, 1993. Print.</w:t>
      </w:r>
    </w:p>
    <w:p w14:paraId="07BD78E5" w14:textId="77777777" w:rsidR="00686028" w:rsidRPr="0072744E" w:rsidRDefault="00686028" w:rsidP="002B186B">
      <w:pPr>
        <w:spacing w:line="480" w:lineRule="auto"/>
        <w:ind w:left="720" w:hanging="720"/>
        <w:rPr>
          <w:rFonts w:eastAsia="Times New Roman"/>
        </w:rPr>
      </w:pPr>
      <w:proofErr w:type="spellStart"/>
      <w:r w:rsidRPr="0072744E">
        <w:rPr>
          <w:rFonts w:eastAsia="Times New Roman"/>
        </w:rPr>
        <w:t>Stanbury</w:t>
      </w:r>
      <w:proofErr w:type="spellEnd"/>
      <w:r w:rsidRPr="0072744E">
        <w:rPr>
          <w:rFonts w:eastAsia="Times New Roman"/>
        </w:rPr>
        <w:t xml:space="preserve">, Sarah. “Feminist Film Theory: Seeing Chrétien’s </w:t>
      </w:r>
      <w:proofErr w:type="spellStart"/>
      <w:r w:rsidRPr="0072744E">
        <w:rPr>
          <w:rFonts w:eastAsia="Times New Roman"/>
        </w:rPr>
        <w:t>Enide</w:t>
      </w:r>
      <w:proofErr w:type="spellEnd"/>
      <w:r w:rsidRPr="0072744E">
        <w:rPr>
          <w:rFonts w:eastAsia="Times New Roman"/>
        </w:rPr>
        <w:t xml:space="preserve">.” </w:t>
      </w:r>
      <w:r w:rsidRPr="0072744E">
        <w:rPr>
          <w:rFonts w:eastAsia="Times New Roman"/>
          <w:i/>
          <w:iCs/>
        </w:rPr>
        <w:t>Literature and Psychology</w:t>
      </w:r>
      <w:r w:rsidRPr="0072744E">
        <w:rPr>
          <w:rFonts w:eastAsia="Times New Roman"/>
        </w:rPr>
        <w:t xml:space="preserve"> 36.4 (1990): 47–66. Print.</w:t>
      </w:r>
    </w:p>
    <w:p w14:paraId="0AD3A969"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 </w:t>
      </w:r>
      <w:r w:rsidRPr="0072744E">
        <w:rPr>
          <w:rFonts w:eastAsia="Times New Roman"/>
          <w:i/>
          <w:iCs/>
        </w:rPr>
        <w:t>Seeing the Gawain-Poet: Description and the Act of Perception</w:t>
      </w:r>
      <w:r w:rsidRPr="0072744E">
        <w:rPr>
          <w:rFonts w:eastAsia="Times New Roman"/>
        </w:rPr>
        <w:t>. Philadelphia: U of Pennsylvania P, 1991. Print.</w:t>
      </w:r>
    </w:p>
    <w:p w14:paraId="7516C7CE"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 “Space and Visual Hermeneutics in the Gawain-Poet.” </w:t>
      </w:r>
      <w:r w:rsidRPr="0072744E">
        <w:rPr>
          <w:rFonts w:eastAsia="Times New Roman"/>
          <w:i/>
          <w:iCs/>
        </w:rPr>
        <w:t>The Chaucer Review: A Journal of Medieval Studies and Literary Criticism</w:t>
      </w:r>
      <w:r w:rsidRPr="0072744E">
        <w:rPr>
          <w:rFonts w:eastAsia="Times New Roman"/>
        </w:rPr>
        <w:t xml:space="preserve"> 21.4 (1987): 476–489. Print.</w:t>
      </w:r>
    </w:p>
    <w:p w14:paraId="05FC1F8D" w14:textId="77777777" w:rsidR="00686028" w:rsidRPr="0072744E" w:rsidRDefault="00686028" w:rsidP="002B186B">
      <w:pPr>
        <w:spacing w:line="480" w:lineRule="auto"/>
        <w:ind w:left="720" w:hanging="720"/>
        <w:rPr>
          <w:rFonts w:eastAsia="Times New Roman"/>
        </w:rPr>
      </w:pPr>
      <w:r w:rsidRPr="0072744E">
        <w:rPr>
          <w:rFonts w:eastAsia="Times New Roman"/>
        </w:rPr>
        <w:lastRenderedPageBreak/>
        <w:t xml:space="preserve">---. “The Lover’s Gaze in Troilus and Criseyde.” </w:t>
      </w:r>
      <w:r w:rsidRPr="0072744E">
        <w:rPr>
          <w:rFonts w:eastAsia="Times New Roman"/>
          <w:i/>
          <w:iCs/>
        </w:rPr>
        <w:t>Chaucer’s Troilus and Criseyde: “</w:t>
      </w:r>
      <w:proofErr w:type="spellStart"/>
      <w:r w:rsidRPr="0072744E">
        <w:rPr>
          <w:rFonts w:eastAsia="Times New Roman"/>
          <w:i/>
          <w:iCs/>
        </w:rPr>
        <w:t>Subgit</w:t>
      </w:r>
      <w:proofErr w:type="spellEnd"/>
      <w:r w:rsidRPr="0072744E">
        <w:rPr>
          <w:rFonts w:eastAsia="Times New Roman"/>
          <w:i/>
          <w:iCs/>
        </w:rPr>
        <w:t xml:space="preserve"> to </w:t>
      </w:r>
      <w:proofErr w:type="spellStart"/>
      <w:r w:rsidRPr="0072744E">
        <w:rPr>
          <w:rFonts w:eastAsia="Times New Roman"/>
          <w:i/>
          <w:iCs/>
        </w:rPr>
        <w:t>Alle</w:t>
      </w:r>
      <w:proofErr w:type="spellEnd"/>
      <w:r w:rsidRPr="0072744E">
        <w:rPr>
          <w:rFonts w:eastAsia="Times New Roman"/>
          <w:i/>
          <w:iCs/>
        </w:rPr>
        <w:t xml:space="preserve"> </w:t>
      </w:r>
      <w:proofErr w:type="spellStart"/>
      <w:r w:rsidRPr="0072744E">
        <w:rPr>
          <w:rFonts w:eastAsia="Times New Roman"/>
          <w:i/>
          <w:iCs/>
        </w:rPr>
        <w:t>Poesye</w:t>
      </w:r>
      <w:proofErr w:type="spellEnd"/>
      <w:r w:rsidRPr="0072744E">
        <w:rPr>
          <w:rFonts w:eastAsia="Times New Roman"/>
          <w:i/>
          <w:iCs/>
        </w:rPr>
        <w:t>”: Essays in Criticism</w:t>
      </w:r>
      <w:r w:rsidRPr="0072744E">
        <w:rPr>
          <w:rFonts w:eastAsia="Times New Roman"/>
        </w:rPr>
        <w:t xml:space="preserve">. Ed. R. A. </w:t>
      </w:r>
      <w:proofErr w:type="spellStart"/>
      <w:r w:rsidRPr="0072744E">
        <w:rPr>
          <w:rFonts w:eastAsia="Times New Roman"/>
        </w:rPr>
        <w:t>Shoaf</w:t>
      </w:r>
      <w:proofErr w:type="spellEnd"/>
      <w:r w:rsidRPr="0072744E">
        <w:rPr>
          <w:rFonts w:eastAsia="Times New Roman"/>
        </w:rPr>
        <w:t xml:space="preserve"> and Catherine S. Cox. Binghamton: Medieval &amp; Renaissance Texts &amp; Studies, 1992. 224–238. Print.</w:t>
      </w:r>
    </w:p>
    <w:p w14:paraId="4C198574" w14:textId="225FC506" w:rsidR="00F61C10" w:rsidRPr="00F61C10" w:rsidRDefault="00F61C10" w:rsidP="002B186B">
      <w:pPr>
        <w:spacing w:line="480" w:lineRule="auto"/>
        <w:ind w:left="720" w:hanging="720"/>
        <w:rPr>
          <w:rFonts w:eastAsia="Times New Roman"/>
        </w:rPr>
      </w:pPr>
      <w:proofErr w:type="spellStart"/>
      <w:r>
        <w:rPr>
          <w:rFonts w:eastAsia="Times New Roman"/>
        </w:rPr>
        <w:t>Veeser</w:t>
      </w:r>
      <w:proofErr w:type="spellEnd"/>
      <w:r>
        <w:rPr>
          <w:rFonts w:eastAsia="Times New Roman"/>
        </w:rPr>
        <w:t xml:space="preserve">, H. Aram. “The New Historicism.” </w:t>
      </w:r>
      <w:r>
        <w:rPr>
          <w:rFonts w:eastAsia="Times New Roman"/>
          <w:i/>
        </w:rPr>
        <w:t xml:space="preserve">The New Historicism: A Reader. </w:t>
      </w:r>
      <w:r>
        <w:rPr>
          <w:rFonts w:eastAsia="Times New Roman"/>
        </w:rPr>
        <w:t xml:space="preserve">Ed. H. Aram </w:t>
      </w:r>
      <w:proofErr w:type="spellStart"/>
      <w:r>
        <w:rPr>
          <w:rFonts w:eastAsia="Times New Roman"/>
        </w:rPr>
        <w:t>Veeser</w:t>
      </w:r>
      <w:proofErr w:type="spellEnd"/>
      <w:r>
        <w:rPr>
          <w:rFonts w:eastAsia="Times New Roman"/>
        </w:rPr>
        <w:t>. New York: Routledge, 1994. Print</w:t>
      </w:r>
    </w:p>
    <w:p w14:paraId="3453257C"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Vial, Claire. “Images of Kings and Kingship: Chaucer, Malory, and the Representations of Royal Entries.” </w:t>
      </w:r>
      <w:r w:rsidRPr="0072744E">
        <w:rPr>
          <w:rFonts w:eastAsia="Times New Roman"/>
          <w:i/>
          <w:iCs/>
        </w:rPr>
        <w:t xml:space="preserve">“Divers </w:t>
      </w:r>
      <w:proofErr w:type="spellStart"/>
      <w:r w:rsidRPr="0072744E">
        <w:rPr>
          <w:rFonts w:eastAsia="Times New Roman"/>
          <w:i/>
          <w:iCs/>
        </w:rPr>
        <w:t>Toyes</w:t>
      </w:r>
      <w:proofErr w:type="spellEnd"/>
      <w:r w:rsidRPr="0072744E">
        <w:rPr>
          <w:rFonts w:eastAsia="Times New Roman"/>
          <w:i/>
          <w:iCs/>
        </w:rPr>
        <w:t xml:space="preserve"> </w:t>
      </w:r>
      <w:proofErr w:type="spellStart"/>
      <w:r w:rsidRPr="0072744E">
        <w:rPr>
          <w:rFonts w:eastAsia="Times New Roman"/>
          <w:i/>
          <w:iCs/>
        </w:rPr>
        <w:t>Mengled</w:t>
      </w:r>
      <w:proofErr w:type="spellEnd"/>
      <w:r w:rsidRPr="0072744E">
        <w:rPr>
          <w:rFonts w:eastAsia="Times New Roman"/>
          <w:i/>
          <w:iCs/>
        </w:rPr>
        <w:t xml:space="preserve">”: Essays on Medieval and Renaissance Culture/Etudes Sur La Culture </w:t>
      </w:r>
      <w:proofErr w:type="spellStart"/>
      <w:r w:rsidRPr="0072744E">
        <w:rPr>
          <w:rFonts w:eastAsia="Times New Roman"/>
          <w:i/>
          <w:iCs/>
        </w:rPr>
        <w:t>Européenne</w:t>
      </w:r>
      <w:proofErr w:type="spellEnd"/>
      <w:r w:rsidRPr="0072744E">
        <w:rPr>
          <w:rFonts w:eastAsia="Times New Roman"/>
          <w:i/>
          <w:iCs/>
        </w:rPr>
        <w:t xml:space="preserve"> Au </w:t>
      </w:r>
      <w:proofErr w:type="spellStart"/>
      <w:r w:rsidRPr="0072744E">
        <w:rPr>
          <w:rFonts w:eastAsia="Times New Roman"/>
          <w:i/>
          <w:iCs/>
        </w:rPr>
        <w:t>Moyen</w:t>
      </w:r>
      <w:proofErr w:type="spellEnd"/>
      <w:r w:rsidRPr="0072744E">
        <w:rPr>
          <w:rFonts w:eastAsia="Times New Roman"/>
          <w:i/>
          <w:iCs/>
        </w:rPr>
        <w:t xml:space="preserve"> Age et À La Renaissance</w:t>
      </w:r>
      <w:r w:rsidRPr="0072744E">
        <w:rPr>
          <w:rFonts w:eastAsia="Times New Roman"/>
        </w:rPr>
        <w:t xml:space="preserve">. Ed. Michel </w:t>
      </w:r>
      <w:proofErr w:type="spellStart"/>
      <w:r w:rsidRPr="0072744E">
        <w:rPr>
          <w:rFonts w:eastAsia="Times New Roman"/>
        </w:rPr>
        <w:t>Bitot</w:t>
      </w:r>
      <w:proofErr w:type="spellEnd"/>
      <w:r w:rsidRPr="0072744E">
        <w:rPr>
          <w:rFonts w:eastAsia="Times New Roman"/>
        </w:rPr>
        <w:t xml:space="preserve">, Roberta </w:t>
      </w:r>
      <w:proofErr w:type="spellStart"/>
      <w:r w:rsidRPr="0072744E">
        <w:rPr>
          <w:rFonts w:eastAsia="Times New Roman"/>
        </w:rPr>
        <w:t>Mullini</w:t>
      </w:r>
      <w:proofErr w:type="spellEnd"/>
      <w:r w:rsidRPr="0072744E">
        <w:rPr>
          <w:rFonts w:eastAsia="Times New Roman"/>
        </w:rPr>
        <w:t xml:space="preserve">, and Peter </w:t>
      </w:r>
      <w:proofErr w:type="spellStart"/>
      <w:r w:rsidRPr="0072744E">
        <w:rPr>
          <w:rFonts w:eastAsia="Times New Roman"/>
        </w:rPr>
        <w:t>Happé</w:t>
      </w:r>
      <w:proofErr w:type="spellEnd"/>
      <w:r w:rsidRPr="0072744E">
        <w:rPr>
          <w:rFonts w:eastAsia="Times New Roman"/>
        </w:rPr>
        <w:t>. Tours: Univ. François Rabelais, 1996. 43–54. Print.</w:t>
      </w:r>
    </w:p>
    <w:p w14:paraId="74D1E7E6"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Waugh, Robin. “A Woman in the Mind’s Eye (and </w:t>
      </w:r>
      <w:proofErr w:type="gramStart"/>
      <w:r w:rsidRPr="0072744E">
        <w:rPr>
          <w:rFonts w:eastAsia="Times New Roman"/>
        </w:rPr>
        <w:t>Not</w:t>
      </w:r>
      <w:proofErr w:type="gramEnd"/>
      <w:r w:rsidRPr="0072744E">
        <w:rPr>
          <w:rFonts w:eastAsia="Times New Roman"/>
        </w:rPr>
        <w:t xml:space="preserve">): Narrators and Gazes in Chaucer’s Clerk’s Tale and in Two Analogues.” </w:t>
      </w:r>
      <w:r w:rsidRPr="0072744E">
        <w:rPr>
          <w:rFonts w:eastAsia="Times New Roman"/>
          <w:i/>
          <w:iCs/>
        </w:rPr>
        <w:t>Philological Quarterly</w:t>
      </w:r>
      <w:r w:rsidRPr="0072744E">
        <w:rPr>
          <w:rFonts w:eastAsia="Times New Roman"/>
        </w:rPr>
        <w:t xml:space="preserve"> 79.1 (2000): 1–18. Print.</w:t>
      </w:r>
    </w:p>
    <w:p w14:paraId="33BA6B4D"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Williamson, Beth. “Sensory Experience in Medieval Devotion: Sound and Vision, Invisibility and Silence.” </w:t>
      </w:r>
      <w:r w:rsidRPr="0072744E">
        <w:rPr>
          <w:rFonts w:eastAsia="Times New Roman"/>
          <w:i/>
          <w:iCs/>
        </w:rPr>
        <w:t>Speculum: A Journal of Medieval Studies</w:t>
      </w:r>
      <w:r w:rsidRPr="0072744E">
        <w:rPr>
          <w:rFonts w:eastAsia="Times New Roman"/>
        </w:rPr>
        <w:t xml:space="preserve"> 88.1 (2013): 1. Print.</w:t>
      </w:r>
    </w:p>
    <w:p w14:paraId="11B32F7C" w14:textId="77777777" w:rsidR="00686028" w:rsidRPr="0072744E" w:rsidRDefault="00686028" w:rsidP="002B186B">
      <w:pPr>
        <w:spacing w:line="480" w:lineRule="auto"/>
        <w:ind w:left="720" w:hanging="720"/>
        <w:rPr>
          <w:rFonts w:eastAsia="Times New Roman"/>
        </w:rPr>
      </w:pPr>
      <w:r w:rsidRPr="0072744E">
        <w:rPr>
          <w:rFonts w:eastAsia="Times New Roman"/>
        </w:rPr>
        <w:t xml:space="preserve">Wilson, Robert H. “Fate and Choice in Malory’s Arthurian Tragedy.” </w:t>
      </w:r>
      <w:r w:rsidRPr="0072744E">
        <w:rPr>
          <w:rFonts w:eastAsia="Times New Roman"/>
          <w:i/>
          <w:iCs/>
        </w:rPr>
        <w:t>Linguistic and Literary Studies in Honor of Archibald A. Hill, IV: Linguistics and Literature; Sociolinguistics and Applied Linguistics</w:t>
      </w:r>
      <w:r w:rsidRPr="0072744E">
        <w:rPr>
          <w:rFonts w:eastAsia="Times New Roman"/>
        </w:rPr>
        <w:t xml:space="preserve">. Ed. Mohammad Ali </w:t>
      </w:r>
      <w:proofErr w:type="spellStart"/>
      <w:r w:rsidRPr="0072744E">
        <w:rPr>
          <w:rFonts w:eastAsia="Times New Roman"/>
        </w:rPr>
        <w:t>Jazayery</w:t>
      </w:r>
      <w:proofErr w:type="spellEnd"/>
      <w:r w:rsidRPr="0072744E">
        <w:rPr>
          <w:rFonts w:eastAsia="Times New Roman"/>
        </w:rPr>
        <w:t xml:space="preserve">, Edgar C. </w:t>
      </w:r>
      <w:proofErr w:type="spellStart"/>
      <w:r w:rsidRPr="0072744E">
        <w:rPr>
          <w:rFonts w:eastAsia="Times New Roman"/>
        </w:rPr>
        <w:t>Polomé</w:t>
      </w:r>
      <w:proofErr w:type="spellEnd"/>
      <w:r w:rsidRPr="0072744E">
        <w:rPr>
          <w:rFonts w:eastAsia="Times New Roman"/>
        </w:rPr>
        <w:t xml:space="preserve">, and Werner Winter. The Hague: Mouton, 1979. 185–190. Print. </w:t>
      </w:r>
    </w:p>
    <w:p w14:paraId="348F889D" w14:textId="268C02AA" w:rsidR="00686028" w:rsidRPr="0072744E" w:rsidRDefault="00686028" w:rsidP="002B186B">
      <w:pPr>
        <w:spacing w:line="480" w:lineRule="auto"/>
        <w:ind w:left="720" w:hanging="720"/>
        <w:rPr>
          <w:rFonts w:eastAsia="Times New Roman"/>
        </w:rPr>
      </w:pPr>
      <w:proofErr w:type="spellStart"/>
      <w:r w:rsidRPr="0072744E">
        <w:rPr>
          <w:rFonts w:eastAsia="Times New Roman"/>
        </w:rPr>
        <w:t>Woolgar</w:t>
      </w:r>
      <w:proofErr w:type="spellEnd"/>
      <w:r w:rsidRPr="0072744E">
        <w:rPr>
          <w:rFonts w:eastAsia="Times New Roman"/>
        </w:rPr>
        <w:t xml:space="preserve">, C. M. </w:t>
      </w:r>
      <w:r w:rsidRPr="0072744E">
        <w:rPr>
          <w:rFonts w:eastAsia="Times New Roman"/>
          <w:i/>
          <w:iCs/>
        </w:rPr>
        <w:t>The Senses in Late Medieval England</w:t>
      </w:r>
      <w:r w:rsidR="002F5A7C">
        <w:rPr>
          <w:rFonts w:eastAsia="Times New Roman"/>
        </w:rPr>
        <w:t>. New Haven</w:t>
      </w:r>
      <w:r w:rsidRPr="0072744E">
        <w:rPr>
          <w:rFonts w:eastAsia="Times New Roman"/>
        </w:rPr>
        <w:t>: Yale University Press, 2006. Print.</w:t>
      </w:r>
    </w:p>
    <w:sectPr w:rsidR="00686028" w:rsidRPr="007274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17196" w14:textId="77777777" w:rsidR="00622060" w:rsidRDefault="00622060" w:rsidP="001E19E7">
      <w:r>
        <w:separator/>
      </w:r>
    </w:p>
  </w:endnote>
  <w:endnote w:type="continuationSeparator" w:id="0">
    <w:p w14:paraId="3F05AA72" w14:textId="77777777" w:rsidR="00622060" w:rsidRDefault="00622060" w:rsidP="001E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5DBE2" w14:textId="77777777" w:rsidR="00622060" w:rsidRDefault="00622060" w:rsidP="001E19E7">
      <w:r>
        <w:separator/>
      </w:r>
    </w:p>
  </w:footnote>
  <w:footnote w:type="continuationSeparator" w:id="0">
    <w:p w14:paraId="2D8FFED9" w14:textId="77777777" w:rsidR="00622060" w:rsidRDefault="00622060" w:rsidP="001E19E7">
      <w:r>
        <w:continuationSeparator/>
      </w:r>
    </w:p>
  </w:footnote>
  <w:footnote w:id="1">
    <w:p w14:paraId="5DA3154C" w14:textId="0914A474" w:rsidR="002B186B" w:rsidRPr="002B186B" w:rsidRDefault="002B186B">
      <w:pPr>
        <w:pStyle w:val="FootnoteText"/>
      </w:pPr>
      <w:r>
        <w:rPr>
          <w:rStyle w:val="FootnoteReference"/>
        </w:rPr>
        <w:footnoteRef/>
      </w:r>
      <w:r>
        <w:t xml:space="preserve"> Many characters use this line in the </w:t>
      </w:r>
      <w:r>
        <w:rPr>
          <w:i/>
        </w:rPr>
        <w:t>Morte Darthur.</w:t>
      </w:r>
      <w:r>
        <w:t xml:space="preserve"> </w:t>
      </w:r>
      <w:proofErr w:type="spellStart"/>
      <w:r>
        <w:t>Balin</w:t>
      </w:r>
      <w:proofErr w:type="spellEnd"/>
      <w:r>
        <w:t xml:space="preserve"> in particular seems to leave his life up to fate and can first be heard stating this sentiment Field 2013 </w:t>
      </w:r>
      <w:r w:rsidR="008727E5">
        <w:t>(50)</w:t>
      </w:r>
      <w:r>
        <w:t>.</w:t>
      </w:r>
    </w:p>
  </w:footnote>
  <w:footnote w:id="2">
    <w:p w14:paraId="0F05BBBB" w14:textId="4128896A" w:rsidR="00F61C10" w:rsidRDefault="00F61C10">
      <w:pPr>
        <w:pStyle w:val="FootnoteText"/>
      </w:pPr>
      <w:r>
        <w:rPr>
          <w:rStyle w:val="FootnoteReference"/>
        </w:rPr>
        <w:footnoteRef/>
      </w:r>
      <w:r>
        <w:t xml:space="preserve"> </w:t>
      </w:r>
      <w:r w:rsidR="002B186B">
        <w:t xml:space="preserve">See especially </w:t>
      </w:r>
      <w:proofErr w:type="spellStart"/>
      <w:r w:rsidR="002B186B">
        <w:t>Stanbury</w:t>
      </w:r>
      <w:proofErr w:type="spellEnd"/>
      <w:r w:rsidR="002B186B">
        <w:t xml:space="preserve"> and Waugh.</w:t>
      </w:r>
    </w:p>
  </w:footnote>
  <w:footnote w:id="3">
    <w:p w14:paraId="497B4EA5" w14:textId="14549FAE" w:rsidR="00F61C10" w:rsidRPr="002504B6" w:rsidRDefault="00F61C10">
      <w:pPr>
        <w:pStyle w:val="FootnoteText"/>
      </w:pPr>
      <w:r>
        <w:rPr>
          <w:rStyle w:val="FootnoteReference"/>
        </w:rPr>
        <w:footnoteRef/>
      </w:r>
      <w:r>
        <w:t xml:space="preserve"> </w:t>
      </w:r>
      <w:r w:rsidR="004A743B">
        <w:t xml:space="preserve">Much of my understanding of medieval optics comes from Lindberg’s </w:t>
      </w:r>
      <w:r w:rsidR="004A743B">
        <w:rPr>
          <w:i/>
        </w:rPr>
        <w:t>Theories of Vision</w:t>
      </w:r>
      <w:r w:rsidR="002504B6">
        <w:rPr>
          <w:i/>
        </w:rPr>
        <w:t xml:space="preserve">. </w:t>
      </w:r>
    </w:p>
  </w:footnote>
  <w:footnote w:id="4">
    <w:p w14:paraId="2F09FC04" w14:textId="7F504B25" w:rsidR="001E7271" w:rsidRDefault="001E7271">
      <w:pPr>
        <w:pStyle w:val="FootnoteText"/>
      </w:pPr>
      <w:r w:rsidRPr="00DF45B1">
        <w:rPr>
          <w:rStyle w:val="FootnoteReference"/>
        </w:rPr>
        <w:footnoteRef/>
      </w:r>
      <w:r w:rsidRPr="00DF45B1">
        <w:t xml:space="preserve"> </w:t>
      </w:r>
      <w:proofErr w:type="spellStart"/>
      <w:r w:rsidRPr="00DF45B1">
        <w:t>Neema</w:t>
      </w:r>
      <w:proofErr w:type="spellEnd"/>
      <w:r w:rsidRPr="00DF45B1">
        <w:t xml:space="preserve"> </w:t>
      </w:r>
      <w:proofErr w:type="spellStart"/>
      <w:r w:rsidRPr="00DF45B1">
        <w:t>Parvini</w:t>
      </w:r>
      <w:proofErr w:type="spellEnd"/>
      <w:r w:rsidRPr="00DF45B1">
        <w:t xml:space="preserve"> points out that one of the hazards of a new historical approach is that “it is no longer possible to speak of a text as the autonomous creation of a single author” (112). I certainly do not mean to say that Chaucer or Malory were exclusively bound by the scholarly debate on sight, but rather that it may help us to understand one small part of their literary achievement.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09583"/>
      <w:docPartObj>
        <w:docPartGallery w:val="Page Numbers (Top of Page)"/>
        <w:docPartUnique/>
      </w:docPartObj>
    </w:sdtPr>
    <w:sdtEndPr>
      <w:rPr>
        <w:noProof/>
      </w:rPr>
    </w:sdtEndPr>
    <w:sdtContent>
      <w:p w14:paraId="46BF9330" w14:textId="2E2B7F28" w:rsidR="00F61C10" w:rsidRDefault="00F61C10">
        <w:pPr>
          <w:pStyle w:val="Header"/>
          <w:jc w:val="right"/>
        </w:pPr>
        <w:r>
          <w:t xml:space="preserve">Rude </w:t>
        </w:r>
        <w:r>
          <w:fldChar w:fldCharType="begin"/>
        </w:r>
        <w:r>
          <w:instrText xml:space="preserve"> PAGE   \* MERGEFORMAT </w:instrText>
        </w:r>
        <w:r>
          <w:fldChar w:fldCharType="separate"/>
        </w:r>
        <w:r w:rsidR="00E30956">
          <w:rPr>
            <w:noProof/>
          </w:rPr>
          <w:t>10</w:t>
        </w:r>
        <w:r>
          <w:rPr>
            <w:noProof/>
          </w:rPr>
          <w:fldChar w:fldCharType="end"/>
        </w:r>
      </w:p>
    </w:sdtContent>
  </w:sdt>
  <w:p w14:paraId="51D129D5" w14:textId="77777777" w:rsidR="00F61C10" w:rsidRDefault="00F61C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485"/>
    <w:rsid w:val="00034F93"/>
    <w:rsid w:val="00051569"/>
    <w:rsid w:val="000625FA"/>
    <w:rsid w:val="000632A0"/>
    <w:rsid w:val="00074985"/>
    <w:rsid w:val="000A2447"/>
    <w:rsid w:val="000C4F67"/>
    <w:rsid w:val="000C5534"/>
    <w:rsid w:val="000E13FE"/>
    <w:rsid w:val="000E608B"/>
    <w:rsid w:val="00100602"/>
    <w:rsid w:val="001524EA"/>
    <w:rsid w:val="00167D1E"/>
    <w:rsid w:val="001C45DA"/>
    <w:rsid w:val="001E19E7"/>
    <w:rsid w:val="001E7271"/>
    <w:rsid w:val="00215DA8"/>
    <w:rsid w:val="00233085"/>
    <w:rsid w:val="00233899"/>
    <w:rsid w:val="002504B6"/>
    <w:rsid w:val="002606EF"/>
    <w:rsid w:val="00267F7B"/>
    <w:rsid w:val="0027041E"/>
    <w:rsid w:val="00292237"/>
    <w:rsid w:val="002A39AB"/>
    <w:rsid w:val="002A4D6A"/>
    <w:rsid w:val="002A64B2"/>
    <w:rsid w:val="002B186B"/>
    <w:rsid w:val="002D3C9D"/>
    <w:rsid w:val="002E03A6"/>
    <w:rsid w:val="002F4C09"/>
    <w:rsid w:val="002F5A7C"/>
    <w:rsid w:val="002F6BD2"/>
    <w:rsid w:val="00300E09"/>
    <w:rsid w:val="00310A22"/>
    <w:rsid w:val="003518C7"/>
    <w:rsid w:val="00371471"/>
    <w:rsid w:val="00381B10"/>
    <w:rsid w:val="003901CD"/>
    <w:rsid w:val="00392793"/>
    <w:rsid w:val="003C1A6E"/>
    <w:rsid w:val="003D4581"/>
    <w:rsid w:val="003D74B1"/>
    <w:rsid w:val="003E18A0"/>
    <w:rsid w:val="003F1B77"/>
    <w:rsid w:val="00416D2D"/>
    <w:rsid w:val="004374FE"/>
    <w:rsid w:val="00446447"/>
    <w:rsid w:val="00453338"/>
    <w:rsid w:val="00480414"/>
    <w:rsid w:val="004A743B"/>
    <w:rsid w:val="004B6052"/>
    <w:rsid w:val="004B7545"/>
    <w:rsid w:val="00505E6D"/>
    <w:rsid w:val="0051260A"/>
    <w:rsid w:val="00512E2F"/>
    <w:rsid w:val="005252E2"/>
    <w:rsid w:val="00531323"/>
    <w:rsid w:val="005471A7"/>
    <w:rsid w:val="00573991"/>
    <w:rsid w:val="00587F89"/>
    <w:rsid w:val="00587FD9"/>
    <w:rsid w:val="005D653E"/>
    <w:rsid w:val="005E2968"/>
    <w:rsid w:val="005E2F7B"/>
    <w:rsid w:val="00612675"/>
    <w:rsid w:val="00622060"/>
    <w:rsid w:val="006252CF"/>
    <w:rsid w:val="0064077A"/>
    <w:rsid w:val="00656FAD"/>
    <w:rsid w:val="00686028"/>
    <w:rsid w:val="006E4850"/>
    <w:rsid w:val="006F3141"/>
    <w:rsid w:val="00707B38"/>
    <w:rsid w:val="0072744E"/>
    <w:rsid w:val="0073483A"/>
    <w:rsid w:val="00734A98"/>
    <w:rsid w:val="00750189"/>
    <w:rsid w:val="00773F93"/>
    <w:rsid w:val="0079410E"/>
    <w:rsid w:val="00797ACD"/>
    <w:rsid w:val="007C7485"/>
    <w:rsid w:val="007F7666"/>
    <w:rsid w:val="00807493"/>
    <w:rsid w:val="008205CF"/>
    <w:rsid w:val="00833620"/>
    <w:rsid w:val="00844396"/>
    <w:rsid w:val="00856B35"/>
    <w:rsid w:val="00860F9E"/>
    <w:rsid w:val="008727E5"/>
    <w:rsid w:val="00885090"/>
    <w:rsid w:val="008A3B98"/>
    <w:rsid w:val="008B1CFD"/>
    <w:rsid w:val="008C72F2"/>
    <w:rsid w:val="008D5437"/>
    <w:rsid w:val="008F6A7B"/>
    <w:rsid w:val="00904ADD"/>
    <w:rsid w:val="009532B2"/>
    <w:rsid w:val="00957D55"/>
    <w:rsid w:val="00964233"/>
    <w:rsid w:val="00984CC6"/>
    <w:rsid w:val="0098714F"/>
    <w:rsid w:val="009922DB"/>
    <w:rsid w:val="009C1872"/>
    <w:rsid w:val="009C1CEF"/>
    <w:rsid w:val="009D0E67"/>
    <w:rsid w:val="009E00AE"/>
    <w:rsid w:val="009E3429"/>
    <w:rsid w:val="00A03D2A"/>
    <w:rsid w:val="00A17C29"/>
    <w:rsid w:val="00A26980"/>
    <w:rsid w:val="00A30523"/>
    <w:rsid w:val="00A42915"/>
    <w:rsid w:val="00AC049F"/>
    <w:rsid w:val="00B21008"/>
    <w:rsid w:val="00B53C2A"/>
    <w:rsid w:val="00BB66F1"/>
    <w:rsid w:val="00BC0FCC"/>
    <w:rsid w:val="00BE2DAC"/>
    <w:rsid w:val="00BF3C6B"/>
    <w:rsid w:val="00BF4CF2"/>
    <w:rsid w:val="00BF5A69"/>
    <w:rsid w:val="00BF5C01"/>
    <w:rsid w:val="00C007B4"/>
    <w:rsid w:val="00C15127"/>
    <w:rsid w:val="00C162BF"/>
    <w:rsid w:val="00C33B39"/>
    <w:rsid w:val="00C65FBE"/>
    <w:rsid w:val="00C97DDB"/>
    <w:rsid w:val="00CB71D9"/>
    <w:rsid w:val="00CD40C4"/>
    <w:rsid w:val="00CD5EB7"/>
    <w:rsid w:val="00D1297E"/>
    <w:rsid w:val="00D1515F"/>
    <w:rsid w:val="00D1673F"/>
    <w:rsid w:val="00D477D6"/>
    <w:rsid w:val="00D5488D"/>
    <w:rsid w:val="00D6424B"/>
    <w:rsid w:val="00D64FB6"/>
    <w:rsid w:val="00DA5DD7"/>
    <w:rsid w:val="00DD70D6"/>
    <w:rsid w:val="00DE20AE"/>
    <w:rsid w:val="00DF45B1"/>
    <w:rsid w:val="00E30956"/>
    <w:rsid w:val="00E41108"/>
    <w:rsid w:val="00E52DD5"/>
    <w:rsid w:val="00E53D65"/>
    <w:rsid w:val="00E7258F"/>
    <w:rsid w:val="00E76119"/>
    <w:rsid w:val="00E853CF"/>
    <w:rsid w:val="00E87691"/>
    <w:rsid w:val="00E96F08"/>
    <w:rsid w:val="00EB50F0"/>
    <w:rsid w:val="00EC4D4C"/>
    <w:rsid w:val="00ED3494"/>
    <w:rsid w:val="00ED4E59"/>
    <w:rsid w:val="00F009EC"/>
    <w:rsid w:val="00F25A90"/>
    <w:rsid w:val="00F61C10"/>
    <w:rsid w:val="00F84B94"/>
    <w:rsid w:val="00F9434B"/>
    <w:rsid w:val="00FC7C7E"/>
    <w:rsid w:val="00FD354B"/>
    <w:rsid w:val="00FD48FA"/>
    <w:rsid w:val="00FE2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C833"/>
  <w15:chartTrackingRefBased/>
  <w15:docId w15:val="{7EBAC182-2E5F-4323-B28E-8B03CB9B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6A7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0E09"/>
    <w:rPr>
      <w:sz w:val="16"/>
      <w:szCs w:val="16"/>
    </w:rPr>
  </w:style>
  <w:style w:type="paragraph" w:styleId="CommentText">
    <w:name w:val="annotation text"/>
    <w:basedOn w:val="Normal"/>
    <w:link w:val="CommentTextChar"/>
    <w:uiPriority w:val="99"/>
    <w:semiHidden/>
    <w:unhideWhenUsed/>
    <w:rsid w:val="00300E09"/>
    <w:rPr>
      <w:sz w:val="20"/>
      <w:szCs w:val="20"/>
    </w:rPr>
  </w:style>
  <w:style w:type="character" w:customStyle="1" w:styleId="CommentTextChar">
    <w:name w:val="Comment Text Char"/>
    <w:basedOn w:val="DefaultParagraphFont"/>
    <w:link w:val="CommentText"/>
    <w:uiPriority w:val="99"/>
    <w:semiHidden/>
    <w:rsid w:val="00300E09"/>
    <w:rPr>
      <w:sz w:val="20"/>
      <w:szCs w:val="20"/>
    </w:rPr>
  </w:style>
  <w:style w:type="paragraph" w:styleId="CommentSubject">
    <w:name w:val="annotation subject"/>
    <w:basedOn w:val="CommentText"/>
    <w:next w:val="CommentText"/>
    <w:link w:val="CommentSubjectChar"/>
    <w:uiPriority w:val="99"/>
    <w:semiHidden/>
    <w:unhideWhenUsed/>
    <w:rsid w:val="00300E09"/>
    <w:rPr>
      <w:b/>
      <w:bCs/>
    </w:rPr>
  </w:style>
  <w:style w:type="character" w:customStyle="1" w:styleId="CommentSubjectChar">
    <w:name w:val="Comment Subject Char"/>
    <w:basedOn w:val="CommentTextChar"/>
    <w:link w:val="CommentSubject"/>
    <w:uiPriority w:val="99"/>
    <w:semiHidden/>
    <w:rsid w:val="00300E09"/>
    <w:rPr>
      <w:b/>
      <w:bCs/>
      <w:sz w:val="20"/>
      <w:szCs w:val="20"/>
    </w:rPr>
  </w:style>
  <w:style w:type="paragraph" w:styleId="BalloonText">
    <w:name w:val="Balloon Text"/>
    <w:basedOn w:val="Normal"/>
    <w:link w:val="BalloonTextChar"/>
    <w:uiPriority w:val="99"/>
    <w:semiHidden/>
    <w:unhideWhenUsed/>
    <w:rsid w:val="00300E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E09"/>
    <w:rPr>
      <w:rFonts w:ascii="Segoe UI" w:hAnsi="Segoe UI" w:cs="Segoe UI"/>
      <w:sz w:val="18"/>
      <w:szCs w:val="18"/>
    </w:rPr>
  </w:style>
  <w:style w:type="paragraph" w:styleId="Revision">
    <w:name w:val="Revision"/>
    <w:hidden/>
    <w:uiPriority w:val="99"/>
    <w:semiHidden/>
    <w:rsid w:val="00587F89"/>
  </w:style>
  <w:style w:type="paragraph" w:styleId="EndnoteText">
    <w:name w:val="endnote text"/>
    <w:basedOn w:val="Normal"/>
    <w:link w:val="EndnoteTextChar"/>
    <w:uiPriority w:val="99"/>
    <w:semiHidden/>
    <w:unhideWhenUsed/>
    <w:rsid w:val="001E19E7"/>
    <w:rPr>
      <w:sz w:val="20"/>
      <w:szCs w:val="20"/>
    </w:rPr>
  </w:style>
  <w:style w:type="character" w:customStyle="1" w:styleId="EndnoteTextChar">
    <w:name w:val="Endnote Text Char"/>
    <w:basedOn w:val="DefaultParagraphFont"/>
    <w:link w:val="EndnoteText"/>
    <w:uiPriority w:val="99"/>
    <w:semiHidden/>
    <w:rsid w:val="001E19E7"/>
    <w:rPr>
      <w:sz w:val="20"/>
      <w:szCs w:val="20"/>
    </w:rPr>
  </w:style>
  <w:style w:type="character" w:styleId="EndnoteReference">
    <w:name w:val="endnote reference"/>
    <w:basedOn w:val="DefaultParagraphFont"/>
    <w:uiPriority w:val="99"/>
    <w:semiHidden/>
    <w:unhideWhenUsed/>
    <w:rsid w:val="001E19E7"/>
    <w:rPr>
      <w:vertAlign w:val="superscript"/>
    </w:rPr>
  </w:style>
  <w:style w:type="paragraph" w:styleId="FootnoteText">
    <w:name w:val="footnote text"/>
    <w:basedOn w:val="Normal"/>
    <w:link w:val="FootnoteTextChar"/>
    <w:uiPriority w:val="99"/>
    <w:semiHidden/>
    <w:unhideWhenUsed/>
    <w:rsid w:val="001E19E7"/>
    <w:rPr>
      <w:sz w:val="20"/>
      <w:szCs w:val="20"/>
    </w:rPr>
  </w:style>
  <w:style w:type="character" w:customStyle="1" w:styleId="FootnoteTextChar">
    <w:name w:val="Footnote Text Char"/>
    <w:basedOn w:val="DefaultParagraphFont"/>
    <w:link w:val="FootnoteText"/>
    <w:uiPriority w:val="99"/>
    <w:semiHidden/>
    <w:rsid w:val="001E19E7"/>
    <w:rPr>
      <w:sz w:val="20"/>
      <w:szCs w:val="20"/>
    </w:rPr>
  </w:style>
  <w:style w:type="character" w:styleId="FootnoteReference">
    <w:name w:val="footnote reference"/>
    <w:basedOn w:val="DefaultParagraphFont"/>
    <w:uiPriority w:val="99"/>
    <w:semiHidden/>
    <w:unhideWhenUsed/>
    <w:rsid w:val="001E19E7"/>
    <w:rPr>
      <w:vertAlign w:val="superscript"/>
    </w:rPr>
  </w:style>
  <w:style w:type="character" w:customStyle="1" w:styleId="Heading1Char">
    <w:name w:val="Heading 1 Char"/>
    <w:basedOn w:val="DefaultParagraphFont"/>
    <w:link w:val="Heading1"/>
    <w:uiPriority w:val="9"/>
    <w:rsid w:val="008F6A7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EC4D4C"/>
    <w:pPr>
      <w:tabs>
        <w:tab w:val="center" w:pos="4680"/>
        <w:tab w:val="right" w:pos="9360"/>
      </w:tabs>
    </w:pPr>
  </w:style>
  <w:style w:type="character" w:customStyle="1" w:styleId="HeaderChar">
    <w:name w:val="Header Char"/>
    <w:basedOn w:val="DefaultParagraphFont"/>
    <w:link w:val="Header"/>
    <w:uiPriority w:val="99"/>
    <w:rsid w:val="00EC4D4C"/>
  </w:style>
  <w:style w:type="paragraph" w:styleId="Footer">
    <w:name w:val="footer"/>
    <w:basedOn w:val="Normal"/>
    <w:link w:val="FooterChar"/>
    <w:uiPriority w:val="99"/>
    <w:unhideWhenUsed/>
    <w:rsid w:val="00EC4D4C"/>
    <w:pPr>
      <w:tabs>
        <w:tab w:val="center" w:pos="4680"/>
        <w:tab w:val="right" w:pos="9360"/>
      </w:tabs>
    </w:pPr>
  </w:style>
  <w:style w:type="character" w:customStyle="1" w:styleId="FooterChar">
    <w:name w:val="Footer Char"/>
    <w:basedOn w:val="DefaultParagraphFont"/>
    <w:link w:val="Footer"/>
    <w:uiPriority w:val="99"/>
    <w:rsid w:val="00EC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385807">
      <w:bodyDiv w:val="1"/>
      <w:marLeft w:val="0"/>
      <w:marRight w:val="0"/>
      <w:marTop w:val="0"/>
      <w:marBottom w:val="0"/>
      <w:divBdr>
        <w:top w:val="none" w:sz="0" w:space="0" w:color="auto"/>
        <w:left w:val="none" w:sz="0" w:space="0" w:color="auto"/>
        <w:bottom w:val="none" w:sz="0" w:space="0" w:color="auto"/>
        <w:right w:val="none" w:sz="0" w:space="0" w:color="auto"/>
      </w:divBdr>
      <w:divsChild>
        <w:div w:id="387071431">
          <w:marLeft w:val="0"/>
          <w:marRight w:val="0"/>
          <w:marTop w:val="45"/>
          <w:marBottom w:val="0"/>
          <w:divBdr>
            <w:top w:val="none" w:sz="0" w:space="0" w:color="auto"/>
            <w:left w:val="none" w:sz="0" w:space="0" w:color="auto"/>
            <w:bottom w:val="none" w:sz="0" w:space="0" w:color="auto"/>
            <w:right w:val="none" w:sz="0" w:space="0" w:color="auto"/>
          </w:divBdr>
        </w:div>
        <w:div w:id="369231256">
          <w:marLeft w:val="0"/>
          <w:marRight w:val="0"/>
          <w:marTop w:val="450"/>
          <w:marBottom w:val="480"/>
          <w:divBdr>
            <w:top w:val="none" w:sz="0" w:space="0" w:color="auto"/>
            <w:left w:val="none" w:sz="0" w:space="0" w:color="auto"/>
            <w:bottom w:val="none" w:sz="0" w:space="0" w:color="auto"/>
            <w:right w:val="none" w:sz="0" w:space="0" w:color="auto"/>
          </w:divBdr>
        </w:div>
      </w:divsChild>
    </w:div>
    <w:div w:id="660085305">
      <w:bodyDiv w:val="1"/>
      <w:marLeft w:val="0"/>
      <w:marRight w:val="0"/>
      <w:marTop w:val="0"/>
      <w:marBottom w:val="0"/>
      <w:divBdr>
        <w:top w:val="none" w:sz="0" w:space="0" w:color="auto"/>
        <w:left w:val="none" w:sz="0" w:space="0" w:color="auto"/>
        <w:bottom w:val="none" w:sz="0" w:space="0" w:color="auto"/>
        <w:right w:val="none" w:sz="0" w:space="0" w:color="auto"/>
      </w:divBdr>
    </w:div>
    <w:div w:id="1408916765">
      <w:bodyDiv w:val="1"/>
      <w:marLeft w:val="0"/>
      <w:marRight w:val="0"/>
      <w:marTop w:val="0"/>
      <w:marBottom w:val="0"/>
      <w:divBdr>
        <w:top w:val="none" w:sz="0" w:space="0" w:color="auto"/>
        <w:left w:val="none" w:sz="0" w:space="0" w:color="auto"/>
        <w:bottom w:val="none" w:sz="0" w:space="0" w:color="auto"/>
        <w:right w:val="none" w:sz="0" w:space="0" w:color="auto"/>
      </w:divBdr>
      <w:divsChild>
        <w:div w:id="2005274633">
          <w:marLeft w:val="0"/>
          <w:marRight w:val="0"/>
          <w:marTop w:val="45"/>
          <w:marBottom w:val="0"/>
          <w:divBdr>
            <w:top w:val="none" w:sz="0" w:space="0" w:color="auto"/>
            <w:left w:val="none" w:sz="0" w:space="0" w:color="auto"/>
            <w:bottom w:val="none" w:sz="0" w:space="0" w:color="auto"/>
            <w:right w:val="none" w:sz="0" w:space="0" w:color="auto"/>
          </w:divBdr>
        </w:div>
        <w:div w:id="1035690773">
          <w:marLeft w:val="0"/>
          <w:marRight w:val="0"/>
          <w:marTop w:val="450"/>
          <w:marBottom w:val="480"/>
          <w:divBdr>
            <w:top w:val="none" w:sz="0" w:space="0" w:color="auto"/>
            <w:left w:val="none" w:sz="0" w:space="0" w:color="auto"/>
            <w:bottom w:val="none" w:sz="0" w:space="0" w:color="auto"/>
            <w:right w:val="none" w:sz="0" w:space="0" w:color="auto"/>
          </w:divBdr>
        </w:div>
      </w:divsChild>
    </w:div>
    <w:div w:id="178233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8C33C-70F1-440C-9435-F6858017F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4550</Words>
  <Characters>25939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Rude</dc:creator>
  <cp:keywords/>
  <dc:description/>
  <cp:lastModifiedBy>Sarah Rude</cp:lastModifiedBy>
  <cp:revision>3</cp:revision>
  <cp:lastPrinted>2015-04-28T20:44:00Z</cp:lastPrinted>
  <dcterms:created xsi:type="dcterms:W3CDTF">2015-05-28T14:36:00Z</dcterms:created>
  <dcterms:modified xsi:type="dcterms:W3CDTF">2015-05-28T15:04:00Z</dcterms:modified>
</cp:coreProperties>
</file>